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445" w:rsidRPr="00B86A97" w:rsidRDefault="00E71D5A" w:rsidP="009230A2">
      <w:pPr>
        <w:jc w:val="right"/>
        <w:rPr>
          <w:rFonts w:cs="Arial"/>
          <w:b/>
        </w:rPr>
      </w:pPr>
      <w:r>
        <w:rPr>
          <w:rFonts w:ascii="Trebuchet MS" w:hAnsi="Trebuchet MS"/>
          <w:sz w:val="22"/>
          <w:szCs w:val="22"/>
        </w:rPr>
        <w:tab/>
      </w:r>
      <w:r>
        <w:rPr>
          <w:rFonts w:ascii="Trebuchet MS" w:hAnsi="Trebuchet MS"/>
          <w:sz w:val="22"/>
          <w:szCs w:val="22"/>
        </w:rPr>
        <w:tab/>
      </w:r>
      <w:r>
        <w:rPr>
          <w:rFonts w:ascii="Trebuchet MS" w:hAnsi="Trebuchet MS"/>
          <w:sz w:val="22"/>
          <w:szCs w:val="22"/>
        </w:rPr>
        <w:tab/>
      </w:r>
      <w:r w:rsidRPr="00B86A97">
        <w:rPr>
          <w:rFonts w:cs="Arial"/>
          <w:b/>
        </w:rPr>
        <w:t>Anexa nr. 12</w:t>
      </w:r>
    </w:p>
    <w:p w:rsidR="00D47AEA" w:rsidRPr="00346C27" w:rsidRDefault="00D47AEA" w:rsidP="00D47AEA">
      <w:pPr>
        <w:jc w:val="center"/>
        <w:rPr>
          <w:rFonts w:cs="Arial"/>
        </w:rPr>
      </w:pPr>
    </w:p>
    <w:p w:rsidR="00D47AEA" w:rsidRPr="00346C27" w:rsidRDefault="00D47AEA" w:rsidP="00D47AEA">
      <w:pPr>
        <w:jc w:val="center"/>
        <w:rPr>
          <w:rFonts w:cs="Arial"/>
        </w:rPr>
      </w:pPr>
    </w:p>
    <w:p w:rsidR="00D47AEA" w:rsidRPr="00A0795C" w:rsidRDefault="00D47AEA" w:rsidP="00D47AEA">
      <w:pPr>
        <w:jc w:val="center"/>
        <w:rPr>
          <w:rFonts w:cs="Arial"/>
          <w:b/>
        </w:rPr>
      </w:pPr>
      <w:r w:rsidRPr="00A0795C">
        <w:rPr>
          <w:rFonts w:cs="Arial"/>
          <w:b/>
        </w:rPr>
        <w:t>PRECIZAREA IPOTEZELOR CARE AU</w:t>
      </w:r>
      <w:r w:rsidR="00112EFE" w:rsidRPr="00A0795C">
        <w:rPr>
          <w:rFonts w:cs="Arial"/>
          <w:b/>
        </w:rPr>
        <w:t xml:space="preserve"> STAT LA BAZA INTOCMIRII PROIECȚIILOR FINANCIARE</w:t>
      </w:r>
    </w:p>
    <w:p w:rsidR="00D47AEA" w:rsidRPr="00346C27" w:rsidRDefault="00D47AEA" w:rsidP="00D47AEA">
      <w:pPr>
        <w:rPr>
          <w:rFonts w:cs="Arial"/>
        </w:rPr>
      </w:pPr>
    </w:p>
    <w:p w:rsidR="00D47AEA" w:rsidRPr="00346C27" w:rsidRDefault="00D47AEA" w:rsidP="00D47AEA">
      <w:pPr>
        <w:rPr>
          <w:rFonts w:cs="Arial"/>
        </w:rPr>
      </w:pPr>
    </w:p>
    <w:p w:rsidR="00D47AEA" w:rsidRPr="00346C27" w:rsidRDefault="00D47AEA" w:rsidP="00D47AEA">
      <w:pPr>
        <w:rPr>
          <w:rFonts w:cs="Arial"/>
          <w:bCs/>
        </w:rPr>
      </w:pPr>
      <w:r w:rsidRPr="00346C27">
        <w:rPr>
          <w:rFonts w:cs="Arial"/>
          <w:bCs/>
        </w:rPr>
        <w:t>PRECIZARILE DE MAI JOS SUNT AFERENTE ANEXE</w:t>
      </w:r>
      <w:r w:rsidR="007571FF">
        <w:rPr>
          <w:rFonts w:cs="Arial"/>
          <w:bCs/>
        </w:rPr>
        <w:t>I</w:t>
      </w:r>
      <w:r w:rsidRPr="00346C27">
        <w:rPr>
          <w:rFonts w:cs="Arial"/>
          <w:bCs/>
        </w:rPr>
        <w:t xml:space="preserve">  FINANCIARE nr. 11</w:t>
      </w:r>
    </w:p>
    <w:p w:rsidR="00D47AEA" w:rsidRPr="00346C27" w:rsidRDefault="00D47AEA" w:rsidP="00D47AEA">
      <w:pPr>
        <w:rPr>
          <w:rFonts w:cs="Arial"/>
        </w:rPr>
      </w:pPr>
    </w:p>
    <w:p w:rsidR="00D47AEA" w:rsidRPr="00A0795C" w:rsidRDefault="00D47AEA" w:rsidP="00D47AEA">
      <w:pPr>
        <w:rPr>
          <w:rFonts w:cs="Arial"/>
          <w:b/>
          <w:bCs/>
        </w:rPr>
      </w:pPr>
      <w:r w:rsidRPr="00A0795C">
        <w:rPr>
          <w:rFonts w:cs="Arial"/>
          <w:b/>
          <w:bCs/>
          <w:u w:val="single"/>
        </w:rPr>
        <w:t>Atenţie:</w:t>
      </w:r>
      <w:r w:rsidRPr="00A0795C">
        <w:rPr>
          <w:rFonts w:cs="Arial"/>
          <w:b/>
          <w:bCs/>
        </w:rPr>
        <w:t xml:space="preserve"> </w:t>
      </w:r>
    </w:p>
    <w:p w:rsidR="00D47AEA" w:rsidRPr="00346C27" w:rsidRDefault="00D47AEA" w:rsidP="00D47AEA">
      <w:pPr>
        <w:jc w:val="both"/>
        <w:rPr>
          <w:rFonts w:cs="Arial"/>
          <w:bCs/>
        </w:rPr>
      </w:pPr>
      <w:r w:rsidRPr="00346C27">
        <w:rPr>
          <w:rFonts w:cs="Arial"/>
          <w:bCs/>
        </w:rPr>
        <w:t>1. Prognozele vor fi întocmite pornind de la situaţiile financiare din anul anterior depunerii proiectului!</w:t>
      </w:r>
    </w:p>
    <w:p w:rsidR="00D47AEA" w:rsidRPr="00346C27" w:rsidRDefault="00D47AEA" w:rsidP="00D47AEA">
      <w:pPr>
        <w:jc w:val="both"/>
        <w:rPr>
          <w:rFonts w:cs="Arial"/>
          <w:bCs/>
        </w:rPr>
      </w:pPr>
      <w:r w:rsidRPr="00346C27">
        <w:rPr>
          <w:rFonts w:cs="Arial"/>
          <w:bCs/>
        </w:rPr>
        <w:t>2. Prognozele se refera la doua perioade distincte: a. Perioada de implementare a proiectului; şi b. Perioada de funcţionare. Perioada de implementare începe cu luna în care s-a semnat contractul de finanţare (Luna 1) şi se termina cu luna în care a fost încasata ultima transa a fondurilor FEPAM.</w:t>
      </w:r>
    </w:p>
    <w:p w:rsidR="00D47AEA" w:rsidRPr="00346C27" w:rsidRDefault="00D47AEA" w:rsidP="00D47AEA">
      <w:pPr>
        <w:jc w:val="both"/>
        <w:rPr>
          <w:rFonts w:cs="Arial"/>
          <w:bCs/>
        </w:rPr>
      </w:pPr>
      <w:r w:rsidRPr="00346C27">
        <w:rPr>
          <w:rFonts w:cs="Arial"/>
          <w:bCs/>
        </w:rPr>
        <w:t xml:space="preserve">3. Anexele vor fi întocmite atât de către societăţi comerciale, cat şi de către PFA, II, IF şi alţi solicitanţi care nu întocmesc situaţii financiare de sinteza. Principiul utilizat este acela ca investiţia productiva implementata generează rezultate economice </w:t>
      </w:r>
      <w:r w:rsidRPr="00346C27">
        <w:rPr>
          <w:rFonts w:cs="Arial"/>
          <w:bCs/>
          <w:u w:val="single"/>
        </w:rPr>
        <w:t>care pot fi cuantificate</w:t>
      </w:r>
      <w:r w:rsidRPr="00346C27">
        <w:rPr>
          <w:rFonts w:cs="Arial"/>
          <w:bCs/>
        </w:rPr>
        <w:t>, chiar daca ele nu se raportează în formulare fiscale (respectiv bilanţ şi cont de profit şi pierderi).</w:t>
      </w:r>
    </w:p>
    <w:p w:rsidR="00D47AEA" w:rsidRPr="00346C27" w:rsidRDefault="00D47AEA" w:rsidP="00D47AEA">
      <w:pPr>
        <w:rPr>
          <w:rFonts w:cs="Arial"/>
        </w:rPr>
      </w:pPr>
    </w:p>
    <w:p w:rsidR="00D47AEA" w:rsidRPr="00A0795C" w:rsidRDefault="00D47AEA" w:rsidP="00D47AEA">
      <w:pPr>
        <w:pStyle w:val="ListParagraph"/>
        <w:numPr>
          <w:ilvl w:val="0"/>
          <w:numId w:val="44"/>
        </w:numPr>
        <w:jc w:val="both"/>
        <w:rPr>
          <w:rFonts w:cs="Arial"/>
          <w:b/>
        </w:rPr>
      </w:pPr>
      <w:r w:rsidRPr="00A0795C">
        <w:rPr>
          <w:rFonts w:cs="Arial"/>
          <w:b/>
        </w:rPr>
        <w:t>Bugetul cererii de finanțare</w:t>
      </w:r>
    </w:p>
    <w:p w:rsidR="00D47AEA" w:rsidRPr="00346C27" w:rsidRDefault="00D47AEA" w:rsidP="00D47AEA">
      <w:pPr>
        <w:jc w:val="both"/>
        <w:rPr>
          <w:rFonts w:cs="Arial"/>
        </w:rPr>
      </w:pPr>
      <w:r w:rsidRPr="00346C27">
        <w:rPr>
          <w:rFonts w:cs="Arial"/>
        </w:rPr>
        <w:t>Anexa se va completa atât cu cheltuielile eligibile cât și cu cele neeligibile.</w:t>
      </w:r>
    </w:p>
    <w:p w:rsidR="00D47AEA" w:rsidRPr="00346C27" w:rsidRDefault="00D47AEA" w:rsidP="00D47AEA">
      <w:pPr>
        <w:jc w:val="both"/>
        <w:rPr>
          <w:rFonts w:cs="Arial"/>
        </w:rPr>
      </w:pPr>
      <w:r w:rsidRPr="00346C27">
        <w:rPr>
          <w:rFonts w:cs="Arial"/>
        </w:rPr>
        <w:t>Pentru solicitanții care sunt înregistrați în scopuri de TVA, vor completa TVA-ul aferent cheltuielilor eligibile pe coloana de TVA neeligibil.</w:t>
      </w:r>
    </w:p>
    <w:p w:rsidR="00D47AEA" w:rsidRPr="00346C27" w:rsidRDefault="00D47AEA" w:rsidP="00D47AEA">
      <w:pPr>
        <w:jc w:val="both"/>
        <w:rPr>
          <w:rFonts w:cs="Arial"/>
        </w:rPr>
      </w:pPr>
      <w:r w:rsidRPr="00346C27">
        <w:rPr>
          <w:rFonts w:cs="Arial"/>
        </w:rPr>
        <w:t>Pentru solicitanții care nu sunt înregistrați în scopuri de TVA, vor completa TVA-ul aferent cheltuielilor eligibile pe coloana de TVA eligibil.</w:t>
      </w:r>
    </w:p>
    <w:p w:rsidR="00D47AEA" w:rsidRPr="00346C27" w:rsidRDefault="00D47AEA" w:rsidP="00D47AEA">
      <w:pPr>
        <w:jc w:val="both"/>
        <w:rPr>
          <w:rFonts w:cs="Arial"/>
        </w:rPr>
      </w:pPr>
    </w:p>
    <w:p w:rsidR="00D47AEA" w:rsidRPr="00A0795C" w:rsidRDefault="00D47AEA" w:rsidP="00D47AEA">
      <w:pPr>
        <w:pStyle w:val="ListParagraph"/>
        <w:numPr>
          <w:ilvl w:val="0"/>
          <w:numId w:val="44"/>
        </w:numPr>
        <w:jc w:val="both"/>
        <w:rPr>
          <w:rFonts w:cs="Arial"/>
          <w:b/>
        </w:rPr>
      </w:pPr>
      <w:r w:rsidRPr="00A0795C">
        <w:rPr>
          <w:rFonts w:cs="Arial"/>
          <w:b/>
        </w:rPr>
        <w:t>Planul investițional</w:t>
      </w:r>
    </w:p>
    <w:p w:rsidR="00D47AEA" w:rsidRPr="00346C27" w:rsidRDefault="00D47AEA" w:rsidP="00D47AEA">
      <w:pPr>
        <w:jc w:val="both"/>
        <w:rPr>
          <w:rFonts w:cs="Arial"/>
        </w:rPr>
      </w:pPr>
      <w:r w:rsidRPr="00346C27">
        <w:rPr>
          <w:rFonts w:cs="Arial"/>
        </w:rPr>
        <w:t>Se vor completa în anexa cheltuielile totale ale investiției defalcat pe cei 2 ani de implementare.</w:t>
      </w:r>
    </w:p>
    <w:p w:rsidR="00D47AEA" w:rsidRPr="00346C27" w:rsidRDefault="00D47AEA" w:rsidP="00D47AEA">
      <w:pPr>
        <w:jc w:val="both"/>
        <w:rPr>
          <w:rFonts w:cs="Arial"/>
        </w:rPr>
      </w:pPr>
      <w:r w:rsidRPr="00346C27">
        <w:rPr>
          <w:rFonts w:cs="Arial"/>
        </w:rPr>
        <w:t>În cadrul anexei se vor mai completa sursele de finanțare ale investiției. În cazul unui credit bancar pentru cofinanțarea proiectului se vor menționa rambursările anuale de principal si dobânzi.</w:t>
      </w:r>
    </w:p>
    <w:p w:rsidR="00D47AEA" w:rsidRPr="00346C27" w:rsidRDefault="00D47AEA" w:rsidP="00D47AEA">
      <w:pPr>
        <w:jc w:val="both"/>
        <w:rPr>
          <w:rFonts w:cs="Arial"/>
        </w:rPr>
      </w:pPr>
    </w:p>
    <w:p w:rsidR="00D47AEA" w:rsidRPr="00A0795C" w:rsidRDefault="00D47AEA" w:rsidP="00D47AEA">
      <w:pPr>
        <w:pStyle w:val="ListParagraph"/>
        <w:numPr>
          <w:ilvl w:val="0"/>
          <w:numId w:val="44"/>
        </w:numPr>
        <w:jc w:val="both"/>
        <w:rPr>
          <w:rFonts w:cs="Arial"/>
          <w:b/>
        </w:rPr>
      </w:pPr>
      <w:r w:rsidRPr="00A0795C">
        <w:rPr>
          <w:rFonts w:cs="Arial"/>
          <w:b/>
        </w:rPr>
        <w:t xml:space="preserve">Prognoza veniturilor </w:t>
      </w:r>
    </w:p>
    <w:p w:rsidR="00D47AEA" w:rsidRPr="00346C27" w:rsidRDefault="00295E42" w:rsidP="00D47AEA">
      <w:pPr>
        <w:ind w:right="148"/>
        <w:jc w:val="both"/>
        <w:rPr>
          <w:rFonts w:cs="Arial"/>
          <w:bCs/>
        </w:rPr>
      </w:pPr>
      <w:r w:rsidRPr="00346C27">
        <w:rPr>
          <w:rFonts w:cs="Arial"/>
          <w:bCs/>
        </w:rPr>
        <w:t>Se va completa Anexa</w:t>
      </w:r>
      <w:r w:rsidR="00D47AEA" w:rsidRPr="00346C27">
        <w:rPr>
          <w:rFonts w:cs="Arial"/>
          <w:bCs/>
        </w:rPr>
        <w:t xml:space="preserve"> «Prognoza veniturilor» cu vânzările cantitative şi valorice previzionate trimestrial în primii doi ani de activitate după care anual. </w:t>
      </w:r>
    </w:p>
    <w:p w:rsidR="00D47AEA" w:rsidRPr="00346C27" w:rsidRDefault="00D47AEA" w:rsidP="00D47AEA">
      <w:pPr>
        <w:ind w:right="148"/>
        <w:jc w:val="both"/>
        <w:rPr>
          <w:rFonts w:cs="Arial"/>
          <w:bCs/>
        </w:rPr>
      </w:pPr>
      <w:r w:rsidRPr="00346C27">
        <w:rPr>
          <w:rFonts w:cs="Arial"/>
          <w:bCs/>
        </w:rPr>
        <w:t>În cadrul acestei secţiuni se detaliază prezumţiile (pentru o mai buna înţelegere de către persoanele care citesc studiul) care au stat la baza realizării previzionării:</w:t>
      </w:r>
    </w:p>
    <w:p w:rsidR="00D47AEA" w:rsidRPr="00346C27" w:rsidRDefault="00D47AEA" w:rsidP="00D47AEA">
      <w:pPr>
        <w:numPr>
          <w:ilvl w:val="0"/>
          <w:numId w:val="43"/>
        </w:numPr>
        <w:ind w:right="148"/>
        <w:jc w:val="both"/>
        <w:rPr>
          <w:rFonts w:cs="Arial"/>
          <w:bCs/>
        </w:rPr>
      </w:pPr>
      <w:r w:rsidRPr="00346C27">
        <w:rPr>
          <w:rFonts w:cs="Arial"/>
          <w:bCs/>
        </w:rPr>
        <w:t>gradul de utilizare a capacităţii de producţie şi modul cum evoluează acesta în timp (daca e cazul); se va estima producţia fizica obţinută în urma realizării investiţiei</w:t>
      </w:r>
    </w:p>
    <w:p w:rsidR="00D47AEA" w:rsidRPr="00346C27" w:rsidRDefault="00D47AEA" w:rsidP="00D47AEA">
      <w:pPr>
        <w:numPr>
          <w:ilvl w:val="0"/>
          <w:numId w:val="43"/>
        </w:numPr>
        <w:ind w:right="148"/>
        <w:jc w:val="both"/>
        <w:rPr>
          <w:rFonts w:cs="Arial"/>
          <w:bCs/>
        </w:rPr>
      </w:pPr>
      <w:r w:rsidRPr="00346C27">
        <w:rPr>
          <w:rFonts w:cs="Arial"/>
          <w:bCs/>
        </w:rPr>
        <w:t xml:space="preserve">detalierea producţiei fizice conform capacităţii de producţie </w:t>
      </w:r>
    </w:p>
    <w:p w:rsidR="00D47AEA" w:rsidRPr="00346C27" w:rsidRDefault="00D47AEA" w:rsidP="00D47AEA">
      <w:pPr>
        <w:numPr>
          <w:ilvl w:val="0"/>
          <w:numId w:val="43"/>
        </w:numPr>
        <w:ind w:right="148"/>
        <w:jc w:val="both"/>
        <w:rPr>
          <w:rFonts w:cs="Arial"/>
          <w:bCs/>
        </w:rPr>
      </w:pPr>
      <w:r w:rsidRPr="00346C27">
        <w:rPr>
          <w:rFonts w:cs="Arial"/>
          <w:bCs/>
        </w:rPr>
        <w:t xml:space="preserve">modul în care au fost previzionate celelalte venituri prognozate </w:t>
      </w:r>
    </w:p>
    <w:p w:rsidR="00D47AEA" w:rsidRPr="00346C27" w:rsidRDefault="00D47AEA" w:rsidP="00D47AEA">
      <w:pPr>
        <w:ind w:right="148"/>
        <w:jc w:val="both"/>
        <w:rPr>
          <w:rFonts w:cs="Arial"/>
          <w:bCs/>
        </w:rPr>
      </w:pPr>
      <w:r w:rsidRPr="00346C27">
        <w:rPr>
          <w:rFonts w:cs="Arial"/>
          <w:bCs/>
        </w:rPr>
        <w:t>Se vor detalia veniturile obţinute din alte tipuri de activităţi decât cea la care se refera proiectul (în cazul în care solicitantul obţine venituri şi din alte activităţi decât cea descrisa prin proiect).</w:t>
      </w:r>
    </w:p>
    <w:p w:rsidR="00D47AEA" w:rsidRPr="00346C27" w:rsidRDefault="00D47AEA" w:rsidP="00D47AEA">
      <w:pPr>
        <w:ind w:left="360" w:right="148"/>
        <w:jc w:val="both"/>
        <w:rPr>
          <w:rFonts w:cs="Arial"/>
          <w:bCs/>
        </w:rPr>
      </w:pPr>
    </w:p>
    <w:p w:rsidR="00D47AEA" w:rsidRPr="00A0795C" w:rsidRDefault="00D47AEA" w:rsidP="00D47AEA">
      <w:pPr>
        <w:jc w:val="both"/>
        <w:rPr>
          <w:rFonts w:cs="Arial"/>
          <w:b/>
        </w:rPr>
      </w:pPr>
      <w:r w:rsidRPr="00A0795C">
        <w:rPr>
          <w:rFonts w:cs="Arial"/>
          <w:b/>
        </w:rPr>
        <w:t>4.</w:t>
      </w:r>
      <w:r w:rsidRPr="00A0795C">
        <w:rPr>
          <w:rFonts w:cs="Arial"/>
          <w:b/>
        </w:rPr>
        <w:tab/>
        <w:t xml:space="preserve">Prognoza cheltuielilor </w:t>
      </w:r>
    </w:p>
    <w:p w:rsidR="00D47AEA" w:rsidRPr="00346C27" w:rsidRDefault="00D47AEA" w:rsidP="00D47AEA">
      <w:pPr>
        <w:ind w:right="148"/>
        <w:jc w:val="both"/>
        <w:rPr>
          <w:rFonts w:cs="Arial"/>
          <w:bCs/>
        </w:rPr>
      </w:pPr>
      <w:r w:rsidRPr="00346C27">
        <w:rPr>
          <w:rFonts w:cs="Arial"/>
          <w:bCs/>
        </w:rPr>
        <w:t xml:space="preserve">Se va completa Anexa «Prognoza cheltuielilor» cu valorile previzionate pe categorii de cheltuieli trimestrial în primii doi ani de activitate după care anual. </w:t>
      </w:r>
    </w:p>
    <w:p w:rsidR="00D47AEA" w:rsidRPr="00346C27" w:rsidRDefault="00D47AEA" w:rsidP="00D47AEA">
      <w:pPr>
        <w:ind w:right="148"/>
        <w:jc w:val="both"/>
        <w:rPr>
          <w:rFonts w:cs="Arial"/>
          <w:bCs/>
        </w:rPr>
      </w:pPr>
      <w:r w:rsidRPr="00346C27">
        <w:rPr>
          <w:rFonts w:cs="Arial"/>
          <w:bCs/>
        </w:rPr>
        <w:t>În cadrul acestei secţiuni se detaliază prezumţiile (pentru o mai buna înţelegere de către persoanele care citesc studiul) care au stat la baza realizării previzionării:</w:t>
      </w:r>
    </w:p>
    <w:p w:rsidR="00D47AEA" w:rsidRPr="00346C27" w:rsidRDefault="00D47AEA" w:rsidP="00D47AEA">
      <w:pPr>
        <w:ind w:left="360" w:right="148"/>
        <w:jc w:val="both"/>
        <w:rPr>
          <w:rFonts w:cs="Arial"/>
          <w:bCs/>
        </w:rPr>
      </w:pPr>
      <w:r w:rsidRPr="00346C27">
        <w:rPr>
          <w:rFonts w:cs="Arial"/>
          <w:bCs/>
        </w:rPr>
        <w:t>- urmăriţi corelarea informaţiilor furnizate aici cu cele menţionate în celelalte secţiuni ale planului de afaceri;</w:t>
      </w:r>
    </w:p>
    <w:p w:rsidR="00D47AEA" w:rsidRPr="00346C27" w:rsidRDefault="00D47AEA" w:rsidP="00D47AEA">
      <w:pPr>
        <w:ind w:left="360" w:right="148"/>
        <w:jc w:val="both"/>
        <w:rPr>
          <w:rFonts w:cs="Arial"/>
          <w:bCs/>
        </w:rPr>
      </w:pPr>
      <w:r w:rsidRPr="00346C27">
        <w:rPr>
          <w:rFonts w:cs="Arial"/>
          <w:bCs/>
        </w:rPr>
        <w:t>- corelarea dintre cheltuielile previzionate şi capacitatea de producţie;</w:t>
      </w:r>
    </w:p>
    <w:p w:rsidR="00D47AEA" w:rsidRPr="00346C27" w:rsidRDefault="00D47AEA" w:rsidP="00D47AEA">
      <w:pPr>
        <w:ind w:left="360" w:right="148"/>
        <w:jc w:val="both"/>
        <w:rPr>
          <w:rFonts w:cs="Arial"/>
          <w:bCs/>
        </w:rPr>
      </w:pPr>
      <w:r w:rsidRPr="00346C27">
        <w:rPr>
          <w:rFonts w:cs="Arial"/>
          <w:bCs/>
        </w:rPr>
        <w:t>- modul în care au fost previzionate fiecare categorie de cheltuiala ;</w:t>
      </w:r>
    </w:p>
    <w:p w:rsidR="00D47AEA" w:rsidRPr="00346C27" w:rsidRDefault="00D47AEA" w:rsidP="00D47AEA">
      <w:pPr>
        <w:ind w:left="360" w:right="148"/>
        <w:jc w:val="both"/>
        <w:rPr>
          <w:rFonts w:cs="Arial"/>
          <w:bCs/>
        </w:rPr>
      </w:pPr>
      <w:r w:rsidRPr="00346C27">
        <w:rPr>
          <w:rFonts w:cs="Arial"/>
          <w:bCs/>
        </w:rPr>
        <w:t>- orice alte informaţii care au stat la baza previzionării sau influenţează previzionarea cheltuielilor şi au influenta relevanta ;</w:t>
      </w:r>
    </w:p>
    <w:p w:rsidR="00D47AEA" w:rsidRPr="00346C27" w:rsidRDefault="00D47AEA" w:rsidP="00D47AEA">
      <w:pPr>
        <w:ind w:right="148"/>
        <w:jc w:val="both"/>
        <w:rPr>
          <w:rFonts w:cs="Arial"/>
          <w:bCs/>
        </w:rPr>
      </w:pPr>
      <w:r w:rsidRPr="00346C27">
        <w:rPr>
          <w:rFonts w:cs="Arial"/>
          <w:bCs/>
        </w:rPr>
        <w:t>Se vor detalia cheltuielile aferente altor tipuri de activităţi decât cea la care se refera proiectul. (în cazul în care solicitantul obţine venituri şi suporta cheltuieli din alte activităţi decât cea descrisa prin proiect)</w:t>
      </w:r>
    </w:p>
    <w:p w:rsidR="00D47AEA" w:rsidRPr="00346C27" w:rsidRDefault="00D47AEA" w:rsidP="00D47AEA">
      <w:pPr>
        <w:jc w:val="both"/>
        <w:rPr>
          <w:rFonts w:cs="Arial"/>
        </w:rPr>
      </w:pPr>
    </w:p>
    <w:p w:rsidR="00D47AEA" w:rsidRPr="00346C27" w:rsidRDefault="00D47AEA" w:rsidP="00D47AEA">
      <w:pPr>
        <w:jc w:val="both"/>
        <w:rPr>
          <w:rFonts w:cs="Arial"/>
        </w:rPr>
      </w:pPr>
    </w:p>
    <w:p w:rsidR="00D47AEA" w:rsidRPr="00A0795C" w:rsidRDefault="00D47AEA" w:rsidP="00D47AEA">
      <w:pPr>
        <w:jc w:val="both"/>
        <w:rPr>
          <w:rFonts w:cs="Arial"/>
          <w:b/>
        </w:rPr>
      </w:pPr>
      <w:r w:rsidRPr="00A0795C">
        <w:rPr>
          <w:rFonts w:cs="Arial"/>
          <w:b/>
        </w:rPr>
        <w:t>5.</w:t>
      </w:r>
      <w:r w:rsidRPr="00A0795C">
        <w:rPr>
          <w:rFonts w:cs="Arial"/>
          <w:b/>
        </w:rPr>
        <w:tab/>
        <w:t xml:space="preserve">Proiecţia contului de profit şi pierdere </w:t>
      </w:r>
    </w:p>
    <w:p w:rsidR="00D47AEA" w:rsidRPr="00346C27" w:rsidRDefault="00D47AEA" w:rsidP="00D47AEA">
      <w:pPr>
        <w:jc w:val="both"/>
        <w:rPr>
          <w:rFonts w:cs="Arial"/>
        </w:rPr>
      </w:pPr>
      <w:r w:rsidRPr="00346C27">
        <w:rPr>
          <w:rFonts w:cs="Arial"/>
        </w:rPr>
        <w:t>În coloana An 0 se vor completa valorile existente în ultimul  cont de profit şi pierdere încheiat de societate anexat la cererea de finanţare (în cazul în care solicitantul este înfiinţat în anul în curs aceasta coloana  nu se completează).</w:t>
      </w:r>
    </w:p>
    <w:p w:rsidR="00D47AEA" w:rsidRPr="00346C27" w:rsidRDefault="00D47AEA" w:rsidP="00D47AEA">
      <w:pPr>
        <w:jc w:val="both"/>
        <w:rPr>
          <w:rFonts w:cs="Arial"/>
        </w:rPr>
      </w:pPr>
      <w:r w:rsidRPr="00346C27">
        <w:rPr>
          <w:rFonts w:cs="Arial"/>
        </w:rPr>
        <w:t>Se vor completa în cadrul anexei rândurile aferente : 12 «Venituri Financiare », 13 « Cheltuieli privind dobânzile » (atât pentru creditul ce urmează a fi contractat pentru co-finanţarea investiţiei din proiect (daca este cazul), cat şi pentru soldul creditelor/leasingurilor/altor datorii financiare  angajate), 14 « Alte cheltuieli financiare</w:t>
      </w:r>
      <w:r w:rsidRPr="00346C27" w:rsidDel="0044315D">
        <w:rPr>
          <w:rFonts w:cs="Arial"/>
        </w:rPr>
        <w:t xml:space="preserve"> </w:t>
      </w:r>
      <w:r w:rsidRPr="00346C27">
        <w:rPr>
          <w:rFonts w:cs="Arial"/>
        </w:rPr>
        <w:t xml:space="preserve"> »,   18« Impozit pe profit/cifra de afaceri », restul rândurilor fiind preluate automat din anexele </w:t>
      </w:r>
      <w:r w:rsidR="00CC1671" w:rsidRPr="00346C27">
        <w:rPr>
          <w:rFonts w:cs="Arial"/>
        </w:rPr>
        <w:t>11.</w:t>
      </w:r>
      <w:r w:rsidR="00120A99" w:rsidRPr="00346C27">
        <w:rPr>
          <w:rFonts w:cs="Arial"/>
        </w:rPr>
        <w:t>3</w:t>
      </w:r>
      <w:r w:rsidRPr="00346C27">
        <w:rPr>
          <w:rFonts w:cs="Arial"/>
        </w:rPr>
        <w:t xml:space="preserve"> şi </w:t>
      </w:r>
      <w:r w:rsidR="00CC1671" w:rsidRPr="00346C27">
        <w:rPr>
          <w:rFonts w:cs="Arial"/>
        </w:rPr>
        <w:t>11.</w:t>
      </w:r>
      <w:r w:rsidR="00120A99" w:rsidRPr="00346C27">
        <w:rPr>
          <w:rFonts w:cs="Arial"/>
        </w:rPr>
        <w:t>4</w:t>
      </w:r>
      <w:r w:rsidRPr="00346C27">
        <w:rPr>
          <w:rFonts w:cs="Arial"/>
        </w:rPr>
        <w:t>. Se vor face menţiuni privind valorile previzionate şi se vor corela cu alte informaţii (exemplu : cheltuielile privind dobânzile).</w:t>
      </w:r>
    </w:p>
    <w:p w:rsidR="00D47AEA" w:rsidRPr="00346C27" w:rsidRDefault="00D47AEA" w:rsidP="00D47AEA">
      <w:pPr>
        <w:jc w:val="both"/>
        <w:rPr>
          <w:rFonts w:cs="Arial"/>
        </w:rPr>
      </w:pPr>
      <w:r w:rsidRPr="00346C27">
        <w:rPr>
          <w:rFonts w:cs="Arial"/>
          <w:u w:val="single"/>
        </w:rPr>
        <w:t>Atenţie:</w:t>
      </w:r>
      <w:r w:rsidRPr="00346C27">
        <w:rPr>
          <w:rFonts w:cs="Arial"/>
        </w:rPr>
        <w:t xml:space="preserve"> Solicitanţii care nu întocmesc situaţii financiare de sinteza (ex. PFA, II, IF, etc.) nu vor completa coloana 0.</w:t>
      </w:r>
    </w:p>
    <w:p w:rsidR="00D47AEA" w:rsidRPr="00346C27" w:rsidRDefault="00D47AEA" w:rsidP="00D47AEA">
      <w:pPr>
        <w:ind w:left="360"/>
        <w:jc w:val="both"/>
        <w:rPr>
          <w:rFonts w:cs="Arial"/>
        </w:rPr>
      </w:pPr>
    </w:p>
    <w:p w:rsidR="00D47AEA" w:rsidRPr="00A0795C" w:rsidRDefault="00D47AEA" w:rsidP="00D47AEA">
      <w:pPr>
        <w:jc w:val="both"/>
        <w:rPr>
          <w:rFonts w:cs="Arial"/>
          <w:b/>
        </w:rPr>
      </w:pPr>
      <w:r w:rsidRPr="00A0795C">
        <w:rPr>
          <w:rFonts w:cs="Arial"/>
          <w:b/>
        </w:rPr>
        <w:t>6.</w:t>
      </w:r>
      <w:r w:rsidRPr="00A0795C">
        <w:rPr>
          <w:rFonts w:cs="Arial"/>
          <w:b/>
        </w:rPr>
        <w:tab/>
        <w:t xml:space="preserve">Bilanţ sintetic previzionat </w:t>
      </w:r>
    </w:p>
    <w:p w:rsidR="00D47AEA" w:rsidRPr="00346C27" w:rsidRDefault="00D47AEA" w:rsidP="00D47AEA">
      <w:pPr>
        <w:jc w:val="both"/>
        <w:rPr>
          <w:rFonts w:cs="Arial"/>
        </w:rPr>
      </w:pPr>
      <w:r w:rsidRPr="00346C27">
        <w:rPr>
          <w:rFonts w:cs="Arial"/>
        </w:rPr>
        <w:t>Se vor face precizări privind ipotezele luate în considerare în procesul de previzionare a posturilor din bilanţ.</w:t>
      </w:r>
    </w:p>
    <w:p w:rsidR="00D47AEA" w:rsidRPr="00346C27" w:rsidRDefault="00D47AEA" w:rsidP="00D47AEA">
      <w:pPr>
        <w:jc w:val="both"/>
        <w:rPr>
          <w:rFonts w:cs="Arial"/>
        </w:rPr>
      </w:pPr>
      <w:r w:rsidRPr="00346C27">
        <w:rPr>
          <w:rFonts w:cs="Arial"/>
        </w:rPr>
        <w:t xml:space="preserve">Se va completa Anexa </w:t>
      </w:r>
      <w:r w:rsidR="003D3918" w:rsidRPr="00346C27">
        <w:rPr>
          <w:rFonts w:cs="Arial"/>
        </w:rPr>
        <w:t>11.</w:t>
      </w:r>
      <w:r w:rsidRPr="00346C27">
        <w:rPr>
          <w:rFonts w:cs="Arial"/>
        </w:rPr>
        <w:t>6 cu valorile prognozate ale posturilor din bilanţ având în vedere următoarele:</w:t>
      </w:r>
    </w:p>
    <w:p w:rsidR="00D47AEA" w:rsidRPr="00346C27" w:rsidRDefault="00D47AEA" w:rsidP="00D47AEA">
      <w:pPr>
        <w:pStyle w:val="ListParagraph"/>
        <w:numPr>
          <w:ilvl w:val="0"/>
          <w:numId w:val="45"/>
        </w:numPr>
        <w:jc w:val="both"/>
        <w:rPr>
          <w:rFonts w:cs="Arial"/>
        </w:rPr>
      </w:pPr>
      <w:r w:rsidRPr="00346C27">
        <w:rPr>
          <w:rFonts w:cs="Arial"/>
        </w:rPr>
        <w:t>în coloana An 0 se vor completa cu valorile existente în ultimul bilanţ încheiat de societate anexat la cererea de finanţare (în cazul în care solicitantul este înfiinţat în anul în curs aceasta coloana  nu se completează);</w:t>
      </w:r>
    </w:p>
    <w:p w:rsidR="00D47AEA" w:rsidRPr="00346C27" w:rsidRDefault="00D47AEA" w:rsidP="00D47AEA">
      <w:pPr>
        <w:pStyle w:val="ListParagraph"/>
        <w:numPr>
          <w:ilvl w:val="0"/>
          <w:numId w:val="45"/>
        </w:numPr>
        <w:jc w:val="both"/>
        <w:rPr>
          <w:rFonts w:cs="Arial"/>
        </w:rPr>
      </w:pPr>
      <w:r w:rsidRPr="00346C27">
        <w:rPr>
          <w:rFonts w:cs="Arial"/>
        </w:rPr>
        <w:t>valorile activelor imobilizate noi achiziţionate se vor adăuga la cele existente (daca este cazul), din acestea se scad valorile activelor imobilizate vândute în perioada respectiva;</w:t>
      </w:r>
    </w:p>
    <w:p w:rsidR="00D47AEA" w:rsidRPr="00346C27" w:rsidRDefault="00D47AEA" w:rsidP="00D47AEA">
      <w:pPr>
        <w:pStyle w:val="ListParagraph"/>
        <w:numPr>
          <w:ilvl w:val="0"/>
          <w:numId w:val="45"/>
        </w:numPr>
        <w:jc w:val="both"/>
        <w:rPr>
          <w:rFonts w:cs="Arial"/>
        </w:rPr>
      </w:pPr>
      <w:r w:rsidRPr="00346C27">
        <w:rPr>
          <w:rFonts w:cs="Arial"/>
        </w:rPr>
        <w:t>valoarea amortizării cumulate aferenta activelor imobilizate existente, la care se adăugă amortizarea calculata pentru activele imobilizate noi achiziţionate (se va corela cu valoarea cheltuielilor cu amortizările prevăzute în contul de profit şi pierdere);</w:t>
      </w:r>
    </w:p>
    <w:p w:rsidR="00D47AEA" w:rsidRPr="00346C27" w:rsidRDefault="00D47AEA" w:rsidP="00D47AEA">
      <w:pPr>
        <w:pStyle w:val="ListParagraph"/>
        <w:numPr>
          <w:ilvl w:val="0"/>
          <w:numId w:val="45"/>
        </w:numPr>
        <w:jc w:val="both"/>
        <w:rPr>
          <w:rFonts w:cs="Arial"/>
        </w:rPr>
      </w:pPr>
      <w:r w:rsidRPr="00346C27">
        <w:rPr>
          <w:rFonts w:cs="Arial"/>
        </w:rPr>
        <w:t>valoarea stocurilor (materii prime, materiale, produse finite,etc.) va fi corelata cu specificul activităţii desfăşurate (durata procesului de fabricaţie, etc.) şi alte elemente considerate relevante.</w:t>
      </w:r>
    </w:p>
    <w:p w:rsidR="00D47AEA" w:rsidRPr="00346C27" w:rsidRDefault="00D47AEA" w:rsidP="00D47AEA">
      <w:pPr>
        <w:pStyle w:val="ListParagraph"/>
        <w:numPr>
          <w:ilvl w:val="0"/>
          <w:numId w:val="45"/>
        </w:numPr>
        <w:jc w:val="both"/>
        <w:rPr>
          <w:rFonts w:cs="Arial"/>
        </w:rPr>
      </w:pPr>
      <w:r w:rsidRPr="00346C27">
        <w:rPr>
          <w:rFonts w:cs="Arial"/>
        </w:rPr>
        <w:lastRenderedPageBreak/>
        <w:t xml:space="preserve">casa şi conturi la bănci se preia valoarea rezultata în Fluxul de numerar aferent aceleiaşi perioade din linia S (din Anexa </w:t>
      </w:r>
      <w:r w:rsidR="003D3918" w:rsidRPr="00346C27">
        <w:rPr>
          <w:rFonts w:cs="Arial"/>
        </w:rPr>
        <w:t>11.9</w:t>
      </w:r>
      <w:r w:rsidRPr="00346C27">
        <w:rPr>
          <w:rFonts w:cs="Arial"/>
        </w:rPr>
        <w:t xml:space="preserve"> „Flux de numerar”</w:t>
      </w:r>
      <w:r w:rsidR="003D3918" w:rsidRPr="00346C27">
        <w:rPr>
          <w:rFonts w:cs="Arial"/>
        </w:rPr>
        <w:t>)</w:t>
      </w:r>
      <w:r w:rsidRPr="00346C27">
        <w:rPr>
          <w:rFonts w:cs="Arial"/>
        </w:rPr>
        <w:t>;</w:t>
      </w:r>
    </w:p>
    <w:p w:rsidR="00D47AEA" w:rsidRPr="00346C27" w:rsidRDefault="00D47AEA" w:rsidP="00D47AEA">
      <w:pPr>
        <w:pStyle w:val="ListParagraph"/>
        <w:numPr>
          <w:ilvl w:val="0"/>
          <w:numId w:val="45"/>
        </w:numPr>
        <w:jc w:val="both"/>
        <w:rPr>
          <w:rFonts w:cs="Arial"/>
        </w:rPr>
      </w:pPr>
      <w:r w:rsidRPr="00346C27">
        <w:rPr>
          <w:rFonts w:cs="Arial"/>
        </w:rPr>
        <w:t>datorii ce trebuie plătite intr-o perioada de pana la un an – se previzionează în funcţie de termenele de plata ale furnizorilor, de creditele pe termen scurt previzionate prin fluxul de numerar, valoarea datoriilor fiscale şi la asigurările sociale aferente activităţii.</w:t>
      </w:r>
    </w:p>
    <w:p w:rsidR="00D47AEA" w:rsidRPr="00346C27" w:rsidRDefault="00D47AEA" w:rsidP="00D47AEA">
      <w:pPr>
        <w:pStyle w:val="ListParagraph"/>
        <w:numPr>
          <w:ilvl w:val="0"/>
          <w:numId w:val="45"/>
        </w:numPr>
        <w:jc w:val="both"/>
        <w:rPr>
          <w:rFonts w:cs="Arial"/>
        </w:rPr>
      </w:pPr>
      <w:r w:rsidRPr="00346C27">
        <w:rPr>
          <w:rFonts w:cs="Arial"/>
        </w:rPr>
        <w:t>datorii ce trebuie plătite intr-o perioada mai mare de un an – se previzionează în funcţie de soldul şi graficul de rambursare a creditelor pe termen mediu şi lung primite (daca este cazul), de soldul şi graficul de plata a datoriilor reeşalonate (daca este cazul); se vor evidenţia de asemenea datoriile către acţionari/asociaţi, leasingurile,  datoriile către alte instituţii financiare.</w:t>
      </w:r>
    </w:p>
    <w:p w:rsidR="00D47AEA" w:rsidRPr="00346C27" w:rsidRDefault="00D47AEA" w:rsidP="00D47AEA">
      <w:pPr>
        <w:pStyle w:val="ListParagraph"/>
        <w:numPr>
          <w:ilvl w:val="0"/>
          <w:numId w:val="45"/>
        </w:numPr>
        <w:jc w:val="both"/>
        <w:rPr>
          <w:rFonts w:cs="Arial"/>
        </w:rPr>
      </w:pPr>
      <w:r w:rsidRPr="00346C27">
        <w:rPr>
          <w:rFonts w:cs="Arial"/>
        </w:rPr>
        <w:t>subvenţii pentru investiţii - se înscriu soldul existent /previzionat (daca este cazul) şi încasările primite prin Programul Operațional de Pescuit și Afaceri Maritime sau alte programe operaționale cu precizarea acestora;</w:t>
      </w:r>
    </w:p>
    <w:p w:rsidR="00D47AEA" w:rsidRPr="00346C27" w:rsidRDefault="00D47AEA" w:rsidP="00D47AEA">
      <w:pPr>
        <w:pStyle w:val="ListParagraph"/>
        <w:numPr>
          <w:ilvl w:val="0"/>
          <w:numId w:val="45"/>
        </w:numPr>
        <w:jc w:val="both"/>
        <w:rPr>
          <w:rFonts w:cs="Arial"/>
        </w:rPr>
      </w:pPr>
      <w:r w:rsidRPr="00346C27">
        <w:rPr>
          <w:rFonts w:cs="Arial"/>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rsidR="00D47AEA" w:rsidRPr="00346C27" w:rsidRDefault="00D47AEA" w:rsidP="00D47AEA">
      <w:pPr>
        <w:pStyle w:val="ListParagraph"/>
        <w:numPr>
          <w:ilvl w:val="0"/>
          <w:numId w:val="45"/>
        </w:numPr>
        <w:jc w:val="both"/>
        <w:rPr>
          <w:rFonts w:cs="Arial"/>
        </w:rPr>
      </w:pPr>
      <w:r w:rsidRPr="00346C27">
        <w:rPr>
          <w:rFonts w:cs="Arial"/>
        </w:rPr>
        <w:t>se va  urmări corelarea datelor introduse cu cele existente în contul de profit şi pierdere şi fluxul de numerar;</w:t>
      </w:r>
    </w:p>
    <w:p w:rsidR="00D47AEA" w:rsidRPr="00346C27" w:rsidRDefault="00D47AEA" w:rsidP="00D47AEA">
      <w:pPr>
        <w:ind w:left="360"/>
        <w:jc w:val="both"/>
        <w:rPr>
          <w:rFonts w:cs="Arial"/>
        </w:rPr>
      </w:pPr>
      <w:r w:rsidRPr="00346C27">
        <w:rPr>
          <w:rFonts w:cs="Arial"/>
          <w:u w:val="single"/>
        </w:rPr>
        <w:t>Atenţie:</w:t>
      </w:r>
      <w:r w:rsidRPr="00346C27">
        <w:rPr>
          <w:rFonts w:cs="Arial"/>
        </w:rPr>
        <w:t xml:space="preserve"> Solicitanţii care nu întocmesc situaţii financiare de sinteza (ex. PFA, AF etc.) nu vor completa coloana 0.</w:t>
      </w:r>
    </w:p>
    <w:p w:rsidR="00D47AEA" w:rsidRPr="00346C27" w:rsidRDefault="00D47AEA" w:rsidP="00D47AEA">
      <w:pPr>
        <w:jc w:val="both"/>
        <w:rPr>
          <w:rFonts w:cs="Arial"/>
        </w:rPr>
      </w:pPr>
    </w:p>
    <w:p w:rsidR="00D47AEA" w:rsidRPr="00346C27" w:rsidRDefault="00D47AEA" w:rsidP="00D47AEA">
      <w:pPr>
        <w:jc w:val="both"/>
        <w:rPr>
          <w:rFonts w:cs="Arial"/>
          <w:i/>
        </w:rPr>
      </w:pPr>
    </w:p>
    <w:p w:rsidR="00D47AEA" w:rsidRPr="00A0795C" w:rsidRDefault="00D47AEA" w:rsidP="00D47AEA">
      <w:pPr>
        <w:jc w:val="both"/>
        <w:rPr>
          <w:rFonts w:cs="Arial"/>
          <w:b/>
        </w:rPr>
      </w:pPr>
      <w:r w:rsidRPr="00A0795C">
        <w:rPr>
          <w:rFonts w:cs="Arial"/>
          <w:b/>
        </w:rPr>
        <w:t>7.</w:t>
      </w:r>
      <w:r w:rsidRPr="00A0795C">
        <w:rPr>
          <w:rFonts w:cs="Arial"/>
          <w:b/>
        </w:rPr>
        <w:tab/>
        <w:t xml:space="preserve">Flux de numerar </w:t>
      </w:r>
    </w:p>
    <w:p w:rsidR="00D47AEA" w:rsidRPr="00346C27" w:rsidRDefault="00D47AEA" w:rsidP="00D47AEA">
      <w:pPr>
        <w:ind w:right="148"/>
        <w:jc w:val="both"/>
        <w:rPr>
          <w:rFonts w:cs="Arial"/>
        </w:rPr>
      </w:pPr>
      <w:r w:rsidRPr="00346C27">
        <w:rPr>
          <w:rFonts w:cs="Arial"/>
        </w:rPr>
        <w:t xml:space="preserve">Se vor completa anexele cu datele privind fluxurile de numerar aferente proiectului pe perioada implementării (anexele </w:t>
      </w:r>
      <w:r w:rsidR="003D3918" w:rsidRPr="00346C27">
        <w:rPr>
          <w:rFonts w:cs="Arial"/>
        </w:rPr>
        <w:t>11.</w:t>
      </w:r>
      <w:r w:rsidRPr="00346C27">
        <w:rPr>
          <w:rFonts w:cs="Arial"/>
        </w:rPr>
        <w:t xml:space="preserve">7 şi </w:t>
      </w:r>
      <w:r w:rsidR="003D3918" w:rsidRPr="00346C27">
        <w:rPr>
          <w:rFonts w:cs="Arial"/>
        </w:rPr>
        <w:t>11.</w:t>
      </w:r>
      <w:r w:rsidRPr="00346C27">
        <w:rPr>
          <w:rFonts w:cs="Arial"/>
        </w:rPr>
        <w:t xml:space="preserve">8 vezi atenţionarea de mai jos desfăşurate lunar) şi pentru o perioada de 5 ani - anexa </w:t>
      </w:r>
      <w:r w:rsidR="003D3918" w:rsidRPr="00346C27">
        <w:rPr>
          <w:rFonts w:cs="Arial"/>
        </w:rPr>
        <w:t>11.</w:t>
      </w:r>
      <w:r w:rsidR="00351E37" w:rsidRPr="00346C27">
        <w:rPr>
          <w:rFonts w:cs="Arial"/>
        </w:rPr>
        <w:t>9</w:t>
      </w:r>
      <w:r w:rsidRPr="00346C27">
        <w:rPr>
          <w:rFonts w:cs="Arial"/>
        </w:rPr>
        <w:t>.</w:t>
      </w:r>
    </w:p>
    <w:p w:rsidR="00D47AEA" w:rsidRPr="00346C27" w:rsidRDefault="00D47AEA" w:rsidP="00D47AEA">
      <w:pPr>
        <w:ind w:right="148"/>
        <w:jc w:val="both"/>
        <w:rPr>
          <w:rFonts w:cs="Arial"/>
          <w:bCs/>
        </w:rPr>
      </w:pPr>
      <w:r w:rsidRPr="00346C27">
        <w:rPr>
          <w:rFonts w:cs="Arial"/>
          <w:bCs/>
        </w:rPr>
        <w:t>În cadrul acestei secţiuni se detaliază prezumţiile (pentru o mai buna înţelegere de către persoanele care citesc studiul) care au stat la baza realizării previzionării :</w:t>
      </w:r>
    </w:p>
    <w:p w:rsidR="00D47AEA" w:rsidRPr="00346C27" w:rsidRDefault="00D47AEA" w:rsidP="00D47AEA">
      <w:pPr>
        <w:ind w:left="360" w:right="148"/>
        <w:jc w:val="both"/>
        <w:rPr>
          <w:rFonts w:cs="Arial"/>
          <w:bCs/>
        </w:rPr>
      </w:pPr>
      <w:r w:rsidRPr="00346C27">
        <w:rPr>
          <w:rFonts w:cs="Arial"/>
          <w:bCs/>
        </w:rPr>
        <w:t>- valoarea cheltuielilor efectuate înaintea semnării contractului de finanţare (</w:t>
      </w:r>
      <w:r w:rsidR="00E92CE0" w:rsidRPr="00346C27">
        <w:rPr>
          <w:rFonts w:cs="Arial"/>
          <w:bCs/>
        </w:rPr>
        <w:t>de ex:</w:t>
      </w:r>
      <w:r w:rsidRPr="00346C27">
        <w:rPr>
          <w:rFonts w:cs="Arial"/>
          <w:bCs/>
        </w:rPr>
        <w:t xml:space="preserve"> consultanta, asistenta tehnica etc.) va fi inclusa în prima luna a anului 1 de implementare la capitolul „Total ieşiri de lichidităţi prin investiţii”; </w:t>
      </w:r>
    </w:p>
    <w:p w:rsidR="00D47AEA" w:rsidRPr="00346C27" w:rsidRDefault="00D47AEA" w:rsidP="00D47AEA">
      <w:pPr>
        <w:ind w:left="360" w:right="148"/>
        <w:jc w:val="both"/>
        <w:rPr>
          <w:rFonts w:cs="Arial"/>
          <w:bCs/>
        </w:rPr>
      </w:pPr>
      <w:r w:rsidRPr="00346C27">
        <w:rPr>
          <w:rFonts w:cs="Arial"/>
          <w:bCs/>
        </w:rPr>
        <w:t>- se va urmări corelarea dintre fluxurile previzionate ca intrări şi ieşiri cu celelalte secţiuni;</w:t>
      </w:r>
    </w:p>
    <w:p w:rsidR="00D47AEA" w:rsidRPr="00346C27" w:rsidRDefault="00D47AEA" w:rsidP="00D47AEA">
      <w:pPr>
        <w:ind w:left="360" w:right="148"/>
        <w:jc w:val="both"/>
        <w:rPr>
          <w:rFonts w:cs="Arial"/>
          <w:bCs/>
        </w:rPr>
      </w:pPr>
      <w:r w:rsidRPr="00346C27">
        <w:rPr>
          <w:rFonts w:cs="Arial"/>
          <w:bCs/>
        </w:rPr>
        <w:t>- atenţie la rândul « Disponibil de numerar la sfârşitul perioadei » acesta nu poate fi negativ în nici una din lunile de implementare şi nici în anii de previziune !</w:t>
      </w:r>
    </w:p>
    <w:p w:rsidR="00D47AEA" w:rsidRPr="00346C27" w:rsidRDefault="00D47AEA" w:rsidP="00D47AEA">
      <w:pPr>
        <w:ind w:left="360" w:right="148"/>
        <w:jc w:val="both"/>
        <w:rPr>
          <w:rFonts w:cs="Arial"/>
          <w:bCs/>
        </w:rPr>
      </w:pPr>
      <w:r w:rsidRPr="00346C27">
        <w:rPr>
          <w:rFonts w:cs="Arial"/>
          <w:bCs/>
        </w:rPr>
        <w:t>- orice alte informaţii care au stat la baza previzionării sau influenţează previzionarea elementelor fluxului de numerar şi au influenta relevanta ;</w:t>
      </w:r>
    </w:p>
    <w:p w:rsidR="00D47AEA" w:rsidRPr="00346C27" w:rsidRDefault="00D47AEA" w:rsidP="00D47AEA">
      <w:pPr>
        <w:jc w:val="both"/>
        <w:rPr>
          <w:rFonts w:cs="Arial"/>
          <w:bCs/>
        </w:rPr>
      </w:pPr>
    </w:p>
    <w:p w:rsidR="00D47AEA" w:rsidRPr="00BD02EA" w:rsidRDefault="00D47AEA" w:rsidP="00D47AEA">
      <w:pPr>
        <w:jc w:val="both"/>
        <w:rPr>
          <w:rFonts w:ascii="Trebuchet MS" w:hAnsi="Trebuchet MS"/>
          <w:sz w:val="22"/>
          <w:szCs w:val="22"/>
        </w:rPr>
      </w:pPr>
      <w:bookmarkStart w:id="0" w:name="_GoBack"/>
      <w:bookmarkEnd w:id="0"/>
    </w:p>
    <w:sectPr w:rsidR="00D47AEA" w:rsidRPr="00BD02EA" w:rsidSect="00BF4DCC">
      <w:headerReference w:type="default" r:id="rId9"/>
      <w:footerReference w:type="default" r:id="rId10"/>
      <w:pgSz w:w="11906" w:h="16838"/>
      <w:pgMar w:top="1417" w:right="1417" w:bottom="1417" w:left="1417" w:header="283" w:footer="68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09F" w:rsidRDefault="00DE109F" w:rsidP="00DF2151">
      <w:r>
        <w:separator/>
      </w:r>
    </w:p>
  </w:endnote>
  <w:endnote w:type="continuationSeparator" w:id="0">
    <w:p w:rsidR="00DE109F" w:rsidRDefault="00DE109F" w:rsidP="00DF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5021446"/>
      <w:docPartObj>
        <w:docPartGallery w:val="Page Numbers (Bottom of Page)"/>
        <w:docPartUnique/>
      </w:docPartObj>
    </w:sdtPr>
    <w:sdtEndPr>
      <w:rPr>
        <w:noProof/>
      </w:rPr>
    </w:sdtEndPr>
    <w:sdtContent>
      <w:p w:rsidR="002F0D8A" w:rsidRDefault="00F0235C">
        <w:pPr>
          <w:pStyle w:val="Footer"/>
          <w:jc w:val="center"/>
        </w:pPr>
        <w:r>
          <w:fldChar w:fldCharType="begin"/>
        </w:r>
        <w:r w:rsidR="002F0D8A">
          <w:instrText xml:space="preserve"> PAGE   \* MERGEFORMAT </w:instrText>
        </w:r>
        <w:r>
          <w:fldChar w:fldCharType="separate"/>
        </w:r>
        <w:r w:rsidR="00406AB3">
          <w:rPr>
            <w:noProof/>
          </w:rPr>
          <w:t>3</w:t>
        </w:r>
        <w:r>
          <w:rPr>
            <w:noProof/>
          </w:rPr>
          <w:fldChar w:fldCharType="end"/>
        </w:r>
      </w:p>
    </w:sdtContent>
  </w:sdt>
  <w:p w:rsidR="00E14940" w:rsidRDefault="00E149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09F" w:rsidRDefault="00DE109F" w:rsidP="00DF2151">
      <w:r>
        <w:separator/>
      </w:r>
    </w:p>
  </w:footnote>
  <w:footnote w:type="continuationSeparator" w:id="0">
    <w:p w:rsidR="00DE109F" w:rsidRDefault="00DE109F" w:rsidP="00DF2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75" w:rsidRDefault="004A7675" w:rsidP="004A7675">
    <w:pPr>
      <w:pStyle w:val="Header"/>
      <w:tabs>
        <w:tab w:val="right" w:pos="9119"/>
      </w:tabs>
      <w:spacing w:after="120"/>
      <w:ind w:left="11" w:right="573" w:hanging="11"/>
    </w:pPr>
    <w:r>
      <w:rPr>
        <w:noProof/>
        <w:lang w:val="en-US" w:eastAsia="en-US"/>
      </w:rPr>
      <w:drawing>
        <wp:anchor distT="0" distB="0" distL="114300" distR="114300" simplePos="0" relativeHeight="251660288" behindDoc="1" locked="0" layoutInCell="1" allowOverlap="1">
          <wp:simplePos x="0" y="0"/>
          <wp:positionH relativeFrom="column">
            <wp:posOffset>3503930</wp:posOffset>
          </wp:positionH>
          <wp:positionV relativeFrom="paragraph">
            <wp:posOffset>635</wp:posOffset>
          </wp:positionV>
          <wp:extent cx="1066800" cy="801370"/>
          <wp:effectExtent l="0" t="0" r="0" b="0"/>
          <wp:wrapTight wrapText="bothSides">
            <wp:wrapPolygon edited="0">
              <wp:start x="0" y="0"/>
              <wp:lineTo x="0" y="21052"/>
              <wp:lineTo x="21214" y="21052"/>
              <wp:lineTo x="21214"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801370"/>
                  </a:xfrm>
                  <a:prstGeom prst="rect">
                    <a:avLst/>
                  </a:prstGeom>
                  <a:noFill/>
                  <a:ln>
                    <a:noFill/>
                  </a:ln>
                </pic:spPr>
              </pic:pic>
            </a:graphicData>
          </a:graphic>
        </wp:anchor>
      </w:drawing>
    </w:r>
    <w:r>
      <w:rPr>
        <w:noProof/>
        <w:lang w:val="en-US" w:eastAsia="en-US"/>
      </w:rPr>
      <w:drawing>
        <wp:anchor distT="0" distB="0" distL="114300" distR="114300" simplePos="0" relativeHeight="251659264" behindDoc="1" locked="0" layoutInCell="1" allowOverlap="1">
          <wp:simplePos x="0" y="0"/>
          <wp:positionH relativeFrom="margin">
            <wp:posOffset>1965960</wp:posOffset>
          </wp:positionH>
          <wp:positionV relativeFrom="paragraph">
            <wp:posOffset>11430</wp:posOffset>
          </wp:positionV>
          <wp:extent cx="1333500" cy="46418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464185"/>
                  </a:xfrm>
                  <a:prstGeom prst="rect">
                    <a:avLst/>
                  </a:prstGeom>
                  <a:noFill/>
                  <a:ln>
                    <a:noFill/>
                  </a:ln>
                </pic:spPr>
              </pic:pic>
            </a:graphicData>
          </a:graphic>
        </wp:anchor>
      </w:drawing>
    </w:r>
    <w:r w:rsidRPr="00807721">
      <w:rPr>
        <w:noProof/>
        <w:lang w:val="en-US" w:eastAsia="en-US"/>
      </w:rPr>
      <w:drawing>
        <wp:inline distT="0" distB="0" distL="0" distR="0">
          <wp:extent cx="944880" cy="7543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44880" cy="754380"/>
                  </a:xfrm>
                  <a:prstGeom prst="rect">
                    <a:avLst/>
                  </a:prstGeom>
                  <a:noFill/>
                  <a:ln>
                    <a:noFill/>
                  </a:ln>
                </pic:spPr>
              </pic:pic>
            </a:graphicData>
          </a:graphic>
        </wp:inline>
      </w:drawing>
    </w:r>
    <w:r>
      <w:t xml:space="preserve">     </w:t>
    </w:r>
    <w:r w:rsidRPr="00807721">
      <w:rPr>
        <w:noProof/>
        <w:lang w:val="en-US" w:eastAsia="en-US"/>
      </w:rPr>
      <w:drawing>
        <wp:inline distT="0" distB="0" distL="0" distR="0">
          <wp:extent cx="769620" cy="769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r>
      <w:t xml:space="preserve">               </w:t>
    </w:r>
    <w:r>
      <w:tab/>
    </w:r>
  </w:p>
  <w:p w:rsidR="00D407E2" w:rsidRDefault="00D407E2" w:rsidP="00D407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43F"/>
    <w:multiLevelType w:val="hybridMultilevel"/>
    <w:tmpl w:val="DCD42A74"/>
    <w:lvl w:ilvl="0" w:tplc="EC6C94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nsid w:val="098316BF"/>
    <w:multiLevelType w:val="hybridMultilevel"/>
    <w:tmpl w:val="0DBC54FE"/>
    <w:lvl w:ilvl="0" w:tplc="F0962E9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C571E98"/>
    <w:multiLevelType w:val="hybridMultilevel"/>
    <w:tmpl w:val="E81889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A1219D"/>
    <w:multiLevelType w:val="hybridMultilevel"/>
    <w:tmpl w:val="8CCCD452"/>
    <w:lvl w:ilvl="0" w:tplc="04180005">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CA06D5"/>
    <w:multiLevelType w:val="hybridMultilevel"/>
    <w:tmpl w:val="B0E0FB1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5A44696"/>
    <w:multiLevelType w:val="hybridMultilevel"/>
    <w:tmpl w:val="6A72EDC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7F52824"/>
    <w:multiLevelType w:val="hybridMultilevel"/>
    <w:tmpl w:val="CD6083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90B537B"/>
    <w:multiLevelType w:val="hybridMultilevel"/>
    <w:tmpl w:val="45985CEE"/>
    <w:lvl w:ilvl="0" w:tplc="03D8EC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3">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5">
    <w:nsid w:val="2DE5691D"/>
    <w:multiLevelType w:val="hybridMultilevel"/>
    <w:tmpl w:val="583EAAA8"/>
    <w:lvl w:ilvl="0" w:tplc="6B3685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0A00ED"/>
    <w:multiLevelType w:val="multilevel"/>
    <w:tmpl w:val="8AEA990C"/>
    <w:lvl w:ilvl="0">
      <w:start w:val="1"/>
      <w:numFmt w:val="decimal"/>
      <w:lvlText w:val="%1"/>
      <w:lvlJc w:val="left"/>
      <w:pPr>
        <w:ind w:left="390" w:hanging="390"/>
      </w:pPr>
      <w:rPr>
        <w:rFonts w:hint="default"/>
        <w:sz w:val="24"/>
      </w:rPr>
    </w:lvl>
    <w:lvl w:ilvl="1">
      <w:start w:val="1"/>
      <w:numFmt w:val="decimal"/>
      <w:lvlText w:val="%1.%2"/>
      <w:lvlJc w:val="left"/>
      <w:pPr>
        <w:ind w:left="390" w:hanging="39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8">
    <w:nsid w:val="36093C84"/>
    <w:multiLevelType w:val="hybridMultilevel"/>
    <w:tmpl w:val="9C04EFE2"/>
    <w:lvl w:ilvl="0" w:tplc="0418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9">
    <w:nsid w:val="360A66AD"/>
    <w:multiLevelType w:val="hybridMultilevel"/>
    <w:tmpl w:val="483451D0"/>
    <w:lvl w:ilvl="0" w:tplc="E6FC0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37556C1D"/>
    <w:multiLevelType w:val="hybridMultilevel"/>
    <w:tmpl w:val="580A0F5C"/>
    <w:lvl w:ilvl="0" w:tplc="3560077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23">
    <w:nsid w:val="38585506"/>
    <w:multiLevelType w:val="hybridMultilevel"/>
    <w:tmpl w:val="4BC8CFC4"/>
    <w:lvl w:ilvl="0" w:tplc="43B01D1E">
      <w:start w:val="13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3DBA3C4A"/>
    <w:multiLevelType w:val="hybridMultilevel"/>
    <w:tmpl w:val="483C71DC"/>
    <w:lvl w:ilvl="0" w:tplc="5E568E44">
      <w:start w:val="11"/>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3EDF3B6D"/>
    <w:multiLevelType w:val="hybridMultilevel"/>
    <w:tmpl w:val="923EE152"/>
    <w:lvl w:ilvl="0" w:tplc="D1E6037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nsid w:val="3FDF7DE5"/>
    <w:multiLevelType w:val="hybridMultilevel"/>
    <w:tmpl w:val="1BFCFA40"/>
    <w:lvl w:ilvl="0" w:tplc="160E84AC">
      <w:start w:val="1"/>
      <w:numFmt w:val="upperRoman"/>
      <w:lvlText w:val="%1."/>
      <w:lvlJc w:val="left"/>
      <w:pPr>
        <w:ind w:left="72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42A9037D"/>
    <w:multiLevelType w:val="hybridMultilevel"/>
    <w:tmpl w:val="30102F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482035F3"/>
    <w:multiLevelType w:val="hybridMultilevel"/>
    <w:tmpl w:val="507C07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34">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0B7055D"/>
    <w:multiLevelType w:val="hybridMultilevel"/>
    <w:tmpl w:val="9498FA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2935E62"/>
    <w:multiLevelType w:val="hybridMultilevel"/>
    <w:tmpl w:val="1E6A2264"/>
    <w:lvl w:ilvl="0" w:tplc="95848C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36429A"/>
    <w:multiLevelType w:val="hybridMultilevel"/>
    <w:tmpl w:val="912CE5C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1">
    <w:nsid w:val="72E173E0"/>
    <w:multiLevelType w:val="hybridMultilevel"/>
    <w:tmpl w:val="35A8E6A8"/>
    <w:lvl w:ilvl="0" w:tplc="B276EFE8">
      <w:start w:val="4"/>
      <w:numFmt w:val="bullet"/>
      <w:lvlText w:val="-"/>
      <w:lvlJc w:val="left"/>
      <w:pPr>
        <w:ind w:left="2640" w:hanging="360"/>
      </w:pPr>
      <w:rPr>
        <w:rFonts w:ascii="Trebuchet MS" w:eastAsia="Times New Roman" w:hAnsi="Trebuchet MS" w:cs="Aria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42">
    <w:nsid w:val="79772550"/>
    <w:multiLevelType w:val="hybridMultilevel"/>
    <w:tmpl w:val="305EEFC0"/>
    <w:lvl w:ilvl="0" w:tplc="B10CA3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7034B4"/>
    <w:multiLevelType w:val="hybridMultilevel"/>
    <w:tmpl w:val="2352870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4"/>
  </w:num>
  <w:num w:numId="4">
    <w:abstractNumId w:val="28"/>
  </w:num>
  <w:num w:numId="5">
    <w:abstractNumId w:val="20"/>
  </w:num>
  <w:num w:numId="6">
    <w:abstractNumId w:val="1"/>
  </w:num>
  <w:num w:numId="7">
    <w:abstractNumId w:val="12"/>
  </w:num>
  <w:num w:numId="8">
    <w:abstractNumId w:val="3"/>
  </w:num>
  <w:num w:numId="9">
    <w:abstractNumId w:val="13"/>
  </w:num>
  <w:num w:numId="10">
    <w:abstractNumId w:val="34"/>
  </w:num>
  <w:num w:numId="11">
    <w:abstractNumId w:val="24"/>
  </w:num>
  <w:num w:numId="12">
    <w:abstractNumId w:val="33"/>
  </w:num>
  <w:num w:numId="13">
    <w:abstractNumId w:val="18"/>
  </w:num>
  <w:num w:numId="14">
    <w:abstractNumId w:val="5"/>
  </w:num>
  <w:num w:numId="15">
    <w:abstractNumId w:val="31"/>
  </w:num>
  <w:num w:numId="16">
    <w:abstractNumId w:val="11"/>
  </w:num>
  <w:num w:numId="17">
    <w:abstractNumId w:val="15"/>
  </w:num>
  <w:num w:numId="18">
    <w:abstractNumId w:val="2"/>
  </w:num>
  <w:num w:numId="19">
    <w:abstractNumId w:val="0"/>
  </w:num>
  <w:num w:numId="20">
    <w:abstractNumId w:val="19"/>
  </w:num>
  <w:num w:numId="21">
    <w:abstractNumId w:val="21"/>
  </w:num>
  <w:num w:numId="22">
    <w:abstractNumId w:val="38"/>
  </w:num>
  <w:num w:numId="23">
    <w:abstractNumId w:val="27"/>
  </w:num>
  <w:num w:numId="24">
    <w:abstractNumId w:val="42"/>
  </w:num>
  <w:num w:numId="25">
    <w:abstractNumId w:val="23"/>
  </w:num>
  <w:num w:numId="26">
    <w:abstractNumId w:val="29"/>
  </w:num>
  <w:num w:numId="27">
    <w:abstractNumId w:val="37"/>
  </w:num>
  <w:num w:numId="28">
    <w:abstractNumId w:val="10"/>
  </w:num>
  <w:num w:numId="29">
    <w:abstractNumId w:val="8"/>
  </w:num>
  <w:num w:numId="30">
    <w:abstractNumId w:val="17"/>
  </w:num>
  <w:num w:numId="31">
    <w:abstractNumId w:val="7"/>
  </w:num>
  <w:num w:numId="32">
    <w:abstractNumId w:val="41"/>
  </w:num>
  <w:num w:numId="33">
    <w:abstractNumId w:val="39"/>
  </w:num>
  <w:num w:numId="34">
    <w:abstractNumId w:val="9"/>
  </w:num>
  <w:num w:numId="35">
    <w:abstractNumId w:val="40"/>
  </w:num>
  <w:num w:numId="36">
    <w:abstractNumId w:val="43"/>
  </w:num>
  <w:num w:numId="37">
    <w:abstractNumId w:val="30"/>
  </w:num>
  <w:num w:numId="38">
    <w:abstractNumId w:val="26"/>
  </w:num>
  <w:num w:numId="39">
    <w:abstractNumId w:val="32"/>
  </w:num>
  <w:num w:numId="40">
    <w:abstractNumId w:val="4"/>
  </w:num>
  <w:num w:numId="41">
    <w:abstractNumId w:val="44"/>
  </w:num>
  <w:num w:numId="42">
    <w:abstractNumId w:val="35"/>
  </w:num>
  <w:num w:numId="43">
    <w:abstractNumId w:val="36"/>
  </w:num>
  <w:num w:numId="44">
    <w:abstractNumId w:val="6"/>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B06CD"/>
    <w:rsid w:val="00005034"/>
    <w:rsid w:val="0000715E"/>
    <w:rsid w:val="00010185"/>
    <w:rsid w:val="00014D52"/>
    <w:rsid w:val="00027A9E"/>
    <w:rsid w:val="00031990"/>
    <w:rsid w:val="00031BCC"/>
    <w:rsid w:val="0004194D"/>
    <w:rsid w:val="00050035"/>
    <w:rsid w:val="00050544"/>
    <w:rsid w:val="0005495B"/>
    <w:rsid w:val="00055219"/>
    <w:rsid w:val="00066E85"/>
    <w:rsid w:val="0007646D"/>
    <w:rsid w:val="000766E4"/>
    <w:rsid w:val="00085145"/>
    <w:rsid w:val="000929DD"/>
    <w:rsid w:val="000A71A0"/>
    <w:rsid w:val="000B1420"/>
    <w:rsid w:val="000B38A7"/>
    <w:rsid w:val="000C77BA"/>
    <w:rsid w:val="000D02BC"/>
    <w:rsid w:val="000D4DD5"/>
    <w:rsid w:val="000E7DA1"/>
    <w:rsid w:val="001017F5"/>
    <w:rsid w:val="0011036B"/>
    <w:rsid w:val="001110E4"/>
    <w:rsid w:val="001127C6"/>
    <w:rsid w:val="00112EFE"/>
    <w:rsid w:val="00116145"/>
    <w:rsid w:val="00120A99"/>
    <w:rsid w:val="0012215D"/>
    <w:rsid w:val="001352D0"/>
    <w:rsid w:val="00144067"/>
    <w:rsid w:val="0015058A"/>
    <w:rsid w:val="0015396E"/>
    <w:rsid w:val="0016316B"/>
    <w:rsid w:val="00175EC4"/>
    <w:rsid w:val="00176743"/>
    <w:rsid w:val="00177812"/>
    <w:rsid w:val="00182209"/>
    <w:rsid w:val="00182E16"/>
    <w:rsid w:val="00184C9D"/>
    <w:rsid w:val="001C450A"/>
    <w:rsid w:val="001D2FF8"/>
    <w:rsid w:val="001E0A8B"/>
    <w:rsid w:val="001E7CAD"/>
    <w:rsid w:val="001F4878"/>
    <w:rsid w:val="00215962"/>
    <w:rsid w:val="002357E5"/>
    <w:rsid w:val="002459D6"/>
    <w:rsid w:val="002511C6"/>
    <w:rsid w:val="00261A7C"/>
    <w:rsid w:val="00265D95"/>
    <w:rsid w:val="00285347"/>
    <w:rsid w:val="00295E42"/>
    <w:rsid w:val="002A08B0"/>
    <w:rsid w:val="002B5FFA"/>
    <w:rsid w:val="002C60F0"/>
    <w:rsid w:val="002C704E"/>
    <w:rsid w:val="002C7C89"/>
    <w:rsid w:val="002D0E34"/>
    <w:rsid w:val="002D2447"/>
    <w:rsid w:val="002F0D8A"/>
    <w:rsid w:val="00310B40"/>
    <w:rsid w:val="00327BA6"/>
    <w:rsid w:val="00335C30"/>
    <w:rsid w:val="00343826"/>
    <w:rsid w:val="00346C27"/>
    <w:rsid w:val="00351E37"/>
    <w:rsid w:val="003A229F"/>
    <w:rsid w:val="003A5DCD"/>
    <w:rsid w:val="003A7F70"/>
    <w:rsid w:val="003B0858"/>
    <w:rsid w:val="003C5DB5"/>
    <w:rsid w:val="003C685A"/>
    <w:rsid w:val="003D3918"/>
    <w:rsid w:val="003E1FC2"/>
    <w:rsid w:val="003E375E"/>
    <w:rsid w:val="003E6241"/>
    <w:rsid w:val="00406AB3"/>
    <w:rsid w:val="0041683D"/>
    <w:rsid w:val="004276B9"/>
    <w:rsid w:val="00435DA8"/>
    <w:rsid w:val="004424AD"/>
    <w:rsid w:val="00446C1E"/>
    <w:rsid w:val="00464324"/>
    <w:rsid w:val="004A7675"/>
    <w:rsid w:val="004B05CE"/>
    <w:rsid w:val="004B2114"/>
    <w:rsid w:val="004B4AA1"/>
    <w:rsid w:val="004C28E8"/>
    <w:rsid w:val="004C4CEE"/>
    <w:rsid w:val="004D42E9"/>
    <w:rsid w:val="004D7C31"/>
    <w:rsid w:val="004E18C5"/>
    <w:rsid w:val="004E29A5"/>
    <w:rsid w:val="004F7FB9"/>
    <w:rsid w:val="00522B18"/>
    <w:rsid w:val="0052664A"/>
    <w:rsid w:val="00535316"/>
    <w:rsid w:val="00543173"/>
    <w:rsid w:val="00546F8C"/>
    <w:rsid w:val="00553C84"/>
    <w:rsid w:val="005953B0"/>
    <w:rsid w:val="0059645B"/>
    <w:rsid w:val="005A7546"/>
    <w:rsid w:val="005B06CD"/>
    <w:rsid w:val="005B73C9"/>
    <w:rsid w:val="005C7E23"/>
    <w:rsid w:val="005D071B"/>
    <w:rsid w:val="005D5AB1"/>
    <w:rsid w:val="005E1954"/>
    <w:rsid w:val="005E1DDA"/>
    <w:rsid w:val="00606B45"/>
    <w:rsid w:val="0061662A"/>
    <w:rsid w:val="00616E29"/>
    <w:rsid w:val="00623420"/>
    <w:rsid w:val="00625401"/>
    <w:rsid w:val="006363DC"/>
    <w:rsid w:val="00640C33"/>
    <w:rsid w:val="00662E98"/>
    <w:rsid w:val="00663737"/>
    <w:rsid w:val="0066606A"/>
    <w:rsid w:val="006818B7"/>
    <w:rsid w:val="00696FC7"/>
    <w:rsid w:val="006A50E3"/>
    <w:rsid w:val="006B192F"/>
    <w:rsid w:val="006F0A48"/>
    <w:rsid w:val="00720DBC"/>
    <w:rsid w:val="00726DCE"/>
    <w:rsid w:val="0073662B"/>
    <w:rsid w:val="00746813"/>
    <w:rsid w:val="007571FF"/>
    <w:rsid w:val="007612AC"/>
    <w:rsid w:val="007721DD"/>
    <w:rsid w:val="007728F7"/>
    <w:rsid w:val="007A6107"/>
    <w:rsid w:val="007C2751"/>
    <w:rsid w:val="007C4794"/>
    <w:rsid w:val="007D3445"/>
    <w:rsid w:val="007E2A0E"/>
    <w:rsid w:val="007F0594"/>
    <w:rsid w:val="00806512"/>
    <w:rsid w:val="00824684"/>
    <w:rsid w:val="008415F6"/>
    <w:rsid w:val="00864110"/>
    <w:rsid w:val="00875425"/>
    <w:rsid w:val="00892E7E"/>
    <w:rsid w:val="008B6A2C"/>
    <w:rsid w:val="008D102A"/>
    <w:rsid w:val="008E25DA"/>
    <w:rsid w:val="008E5C47"/>
    <w:rsid w:val="00900DFF"/>
    <w:rsid w:val="00914354"/>
    <w:rsid w:val="009230A2"/>
    <w:rsid w:val="00943066"/>
    <w:rsid w:val="00947ABA"/>
    <w:rsid w:val="009516DE"/>
    <w:rsid w:val="00951D9C"/>
    <w:rsid w:val="00962C35"/>
    <w:rsid w:val="009B6113"/>
    <w:rsid w:val="009D0CDB"/>
    <w:rsid w:val="009E6CDF"/>
    <w:rsid w:val="009F030F"/>
    <w:rsid w:val="00A00048"/>
    <w:rsid w:val="00A04A6C"/>
    <w:rsid w:val="00A0795C"/>
    <w:rsid w:val="00A14A15"/>
    <w:rsid w:val="00A331A3"/>
    <w:rsid w:val="00A350EA"/>
    <w:rsid w:val="00A518BC"/>
    <w:rsid w:val="00A60D05"/>
    <w:rsid w:val="00A621BF"/>
    <w:rsid w:val="00A66D1E"/>
    <w:rsid w:val="00A70680"/>
    <w:rsid w:val="00A72E59"/>
    <w:rsid w:val="00A76FB2"/>
    <w:rsid w:val="00A821F2"/>
    <w:rsid w:val="00A93511"/>
    <w:rsid w:val="00A94BE4"/>
    <w:rsid w:val="00AA4249"/>
    <w:rsid w:val="00AB11C7"/>
    <w:rsid w:val="00AC7FCB"/>
    <w:rsid w:val="00AD2FE0"/>
    <w:rsid w:val="00AD6F9F"/>
    <w:rsid w:val="00AE1A32"/>
    <w:rsid w:val="00AE5015"/>
    <w:rsid w:val="00AE7764"/>
    <w:rsid w:val="00AE7E67"/>
    <w:rsid w:val="00B314DD"/>
    <w:rsid w:val="00B52D88"/>
    <w:rsid w:val="00B561B7"/>
    <w:rsid w:val="00B6018F"/>
    <w:rsid w:val="00B60801"/>
    <w:rsid w:val="00B60D26"/>
    <w:rsid w:val="00B658D6"/>
    <w:rsid w:val="00B740B9"/>
    <w:rsid w:val="00B86A97"/>
    <w:rsid w:val="00BC3D1F"/>
    <w:rsid w:val="00BD02EA"/>
    <w:rsid w:val="00BE3968"/>
    <w:rsid w:val="00BE7164"/>
    <w:rsid w:val="00BF3CF0"/>
    <w:rsid w:val="00BF4DCC"/>
    <w:rsid w:val="00BF69D4"/>
    <w:rsid w:val="00C1600A"/>
    <w:rsid w:val="00C207D5"/>
    <w:rsid w:val="00C34AD7"/>
    <w:rsid w:val="00C56464"/>
    <w:rsid w:val="00C56CC3"/>
    <w:rsid w:val="00C614F5"/>
    <w:rsid w:val="00C77717"/>
    <w:rsid w:val="00C82D36"/>
    <w:rsid w:val="00C9269E"/>
    <w:rsid w:val="00CA7920"/>
    <w:rsid w:val="00CC1671"/>
    <w:rsid w:val="00CC756B"/>
    <w:rsid w:val="00CD5605"/>
    <w:rsid w:val="00CF4CAF"/>
    <w:rsid w:val="00D0513F"/>
    <w:rsid w:val="00D10FFF"/>
    <w:rsid w:val="00D13E52"/>
    <w:rsid w:val="00D34D99"/>
    <w:rsid w:val="00D37BC7"/>
    <w:rsid w:val="00D407E2"/>
    <w:rsid w:val="00D41530"/>
    <w:rsid w:val="00D45623"/>
    <w:rsid w:val="00D46CC1"/>
    <w:rsid w:val="00D47AEA"/>
    <w:rsid w:val="00D51B9D"/>
    <w:rsid w:val="00D51D20"/>
    <w:rsid w:val="00D5724E"/>
    <w:rsid w:val="00D63DE8"/>
    <w:rsid w:val="00D63FAA"/>
    <w:rsid w:val="00D65184"/>
    <w:rsid w:val="00D66FBA"/>
    <w:rsid w:val="00D67D09"/>
    <w:rsid w:val="00D73C23"/>
    <w:rsid w:val="00D74668"/>
    <w:rsid w:val="00D91146"/>
    <w:rsid w:val="00D93502"/>
    <w:rsid w:val="00D96A80"/>
    <w:rsid w:val="00DB3D13"/>
    <w:rsid w:val="00DC3210"/>
    <w:rsid w:val="00DE109F"/>
    <w:rsid w:val="00DE30FA"/>
    <w:rsid w:val="00DF2151"/>
    <w:rsid w:val="00E06ADE"/>
    <w:rsid w:val="00E13D40"/>
    <w:rsid w:val="00E14940"/>
    <w:rsid w:val="00E2618D"/>
    <w:rsid w:val="00E30118"/>
    <w:rsid w:val="00E55706"/>
    <w:rsid w:val="00E71D5A"/>
    <w:rsid w:val="00E73BCA"/>
    <w:rsid w:val="00E77A2E"/>
    <w:rsid w:val="00E80547"/>
    <w:rsid w:val="00E92CE0"/>
    <w:rsid w:val="00E95985"/>
    <w:rsid w:val="00EA0153"/>
    <w:rsid w:val="00EA4BC3"/>
    <w:rsid w:val="00EA7CAA"/>
    <w:rsid w:val="00EC3B37"/>
    <w:rsid w:val="00ED1B4C"/>
    <w:rsid w:val="00ED40B0"/>
    <w:rsid w:val="00ED6FD1"/>
    <w:rsid w:val="00ED7921"/>
    <w:rsid w:val="00F0235C"/>
    <w:rsid w:val="00F17F8E"/>
    <w:rsid w:val="00F47A52"/>
    <w:rsid w:val="00F53559"/>
    <w:rsid w:val="00F55A4E"/>
    <w:rsid w:val="00F6141C"/>
    <w:rsid w:val="00F63FE8"/>
    <w:rsid w:val="00F6450E"/>
    <w:rsid w:val="00F66E4A"/>
    <w:rsid w:val="00F70E56"/>
    <w:rsid w:val="00F71BB1"/>
    <w:rsid w:val="00F75F04"/>
    <w:rsid w:val="00F7760B"/>
    <w:rsid w:val="00F84E18"/>
    <w:rsid w:val="00FB3615"/>
    <w:rsid w:val="00FB4846"/>
    <w:rsid w:val="00FB7913"/>
    <w:rsid w:val="00FC620E"/>
    <w:rsid w:val="00FD21E3"/>
    <w:rsid w:val="00FD309D"/>
    <w:rsid w:val="00FE5AB9"/>
    <w:rsid w:val="00FF07FD"/>
    <w:rsid w:val="00FF68BF"/>
    <w:rsid w:val="00FF78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BC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031B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31BCC"/>
    <w:pPr>
      <w:keepNext/>
      <w:keepLines/>
      <w:spacing w:before="20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semiHidden/>
    <w:unhideWhenUsed/>
    <w:qFormat/>
    <w:rsid w:val="00031BC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1BCC"/>
    <w:rPr>
      <w:rFonts w:asciiTheme="majorHAnsi" w:eastAsiaTheme="majorEastAsia" w:hAnsiTheme="majorHAnsi" w:cstheme="majorBidi"/>
      <w:color w:val="2E74B5" w:themeColor="accent1" w:themeShade="BF"/>
      <w:sz w:val="32"/>
      <w:szCs w:val="32"/>
      <w:lang w:eastAsia="ro-RO"/>
    </w:rPr>
  </w:style>
  <w:style w:type="character" w:customStyle="1" w:styleId="Heading3Char">
    <w:name w:val="Heading 3 Char"/>
    <w:basedOn w:val="DefaultParagraphFont"/>
    <w:link w:val="Heading3"/>
    <w:uiPriority w:val="9"/>
    <w:semiHidden/>
    <w:rsid w:val="00031BCC"/>
    <w:rPr>
      <w:rFonts w:asciiTheme="majorHAnsi" w:eastAsiaTheme="majorEastAsia" w:hAnsiTheme="majorHAnsi" w:cstheme="majorBidi"/>
      <w:b/>
      <w:bCs/>
      <w:color w:val="5B9BD5" w:themeColor="accent1"/>
      <w:sz w:val="24"/>
      <w:szCs w:val="24"/>
      <w:lang w:eastAsia="ro-RO"/>
    </w:rPr>
  </w:style>
  <w:style w:type="character" w:customStyle="1" w:styleId="Heading5Char">
    <w:name w:val="Heading 5 Char"/>
    <w:basedOn w:val="DefaultParagraphFont"/>
    <w:link w:val="Heading5"/>
    <w:uiPriority w:val="9"/>
    <w:semiHidden/>
    <w:rsid w:val="00031BCC"/>
    <w:rPr>
      <w:rFonts w:asciiTheme="majorHAnsi" w:eastAsiaTheme="majorEastAsia" w:hAnsiTheme="majorHAnsi" w:cstheme="majorBidi"/>
      <w:color w:val="2E74B5" w:themeColor="accent1" w:themeShade="BF"/>
      <w:sz w:val="24"/>
      <w:szCs w:val="24"/>
      <w:lang w:eastAsia="ro-RO"/>
    </w:rPr>
  </w:style>
  <w:style w:type="paragraph" w:styleId="TOCHeading">
    <w:name w:val="TOC Heading"/>
    <w:basedOn w:val="Heading1"/>
    <w:next w:val="Normal"/>
    <w:uiPriority w:val="39"/>
    <w:unhideWhenUsed/>
    <w:qFormat/>
    <w:rsid w:val="00031BCC"/>
    <w:pPr>
      <w:spacing w:line="259" w:lineRule="auto"/>
      <w:outlineLvl w:val="9"/>
    </w:pPr>
  </w:style>
  <w:style w:type="paragraph" w:styleId="TOC2">
    <w:name w:val="toc 2"/>
    <w:basedOn w:val="Normal"/>
    <w:next w:val="Normal"/>
    <w:autoRedefine/>
    <w:uiPriority w:val="39"/>
    <w:unhideWhenUsed/>
    <w:rsid w:val="00031BC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031BCC"/>
    <w:pPr>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031BCC"/>
    <w:pPr>
      <w:spacing w:after="100" w:line="259" w:lineRule="auto"/>
      <w:ind w:left="440"/>
    </w:pPr>
    <w:rPr>
      <w:rFonts w:asciiTheme="minorHAnsi" w:eastAsiaTheme="minorEastAsia" w:hAnsiTheme="minorHAnsi"/>
      <w:sz w:val="22"/>
      <w:szCs w:val="22"/>
    </w:rPr>
  </w:style>
  <w:style w:type="paragraph" w:styleId="Header">
    <w:name w:val="header"/>
    <w:aliases w:val="Header Char, Char1 Char, Char1"/>
    <w:basedOn w:val="Normal"/>
    <w:link w:val="HeaderChar1"/>
    <w:uiPriority w:val="99"/>
    <w:unhideWhenUsed/>
    <w:rsid w:val="00031BCC"/>
    <w:pPr>
      <w:tabs>
        <w:tab w:val="center" w:pos="4536"/>
        <w:tab w:val="right" w:pos="9072"/>
      </w:tabs>
    </w:pPr>
  </w:style>
  <w:style w:type="character" w:customStyle="1" w:styleId="HeaderChar1">
    <w:name w:val="Header Char1"/>
    <w:aliases w:val="Header Char Char, Char1 Char Char, Char1 Char1"/>
    <w:basedOn w:val="DefaultParagraphFont"/>
    <w:link w:val="Header"/>
    <w:uiPriority w:val="99"/>
    <w:rsid w:val="00031BC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031BCC"/>
    <w:pPr>
      <w:tabs>
        <w:tab w:val="center" w:pos="4536"/>
        <w:tab w:val="right" w:pos="9072"/>
      </w:tabs>
    </w:pPr>
  </w:style>
  <w:style w:type="character" w:customStyle="1" w:styleId="FooterChar">
    <w:name w:val="Footer Char"/>
    <w:basedOn w:val="DefaultParagraphFont"/>
    <w:link w:val="Footer"/>
    <w:uiPriority w:val="99"/>
    <w:rsid w:val="00031BCC"/>
    <w:rPr>
      <w:rFonts w:ascii="Arial" w:eastAsia="Times New Roman" w:hAnsi="Arial" w:cs="Times New Roman"/>
      <w:sz w:val="24"/>
      <w:szCs w:val="24"/>
      <w:lang w:eastAsia="ro-RO"/>
    </w:rPr>
  </w:style>
  <w:style w:type="paragraph" w:customStyle="1" w:styleId="Default">
    <w:name w:val="Default"/>
    <w:rsid w:val="00031BC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ListParagraph">
    <w:name w:val="List Paragraph"/>
    <w:basedOn w:val="Normal"/>
    <w:uiPriority w:val="34"/>
    <w:qFormat/>
    <w:rsid w:val="00031BCC"/>
    <w:pPr>
      <w:ind w:left="720"/>
      <w:contextualSpacing/>
    </w:pPr>
  </w:style>
  <w:style w:type="character" w:styleId="CommentReference">
    <w:name w:val="annotation reference"/>
    <w:basedOn w:val="DefaultParagraphFont"/>
    <w:uiPriority w:val="99"/>
    <w:semiHidden/>
    <w:unhideWhenUsed/>
    <w:rsid w:val="00031BCC"/>
    <w:rPr>
      <w:sz w:val="16"/>
      <w:szCs w:val="16"/>
    </w:rPr>
  </w:style>
  <w:style w:type="paragraph" w:styleId="CommentText">
    <w:name w:val="annotation text"/>
    <w:basedOn w:val="Normal"/>
    <w:link w:val="CommentTextChar"/>
    <w:uiPriority w:val="99"/>
    <w:semiHidden/>
    <w:unhideWhenUsed/>
    <w:rsid w:val="00031BC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031BCC"/>
    <w:rPr>
      <w:rFonts w:eastAsiaTheme="minorEastAsia"/>
      <w:sz w:val="20"/>
      <w:szCs w:val="20"/>
      <w:lang w:eastAsia="ro-RO"/>
    </w:rPr>
  </w:style>
  <w:style w:type="paragraph" w:styleId="BalloonText">
    <w:name w:val="Balloon Text"/>
    <w:basedOn w:val="Normal"/>
    <w:link w:val="BalloonTextChar"/>
    <w:uiPriority w:val="99"/>
    <w:semiHidden/>
    <w:unhideWhenUsed/>
    <w:rsid w:val="00031B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BCC"/>
    <w:rPr>
      <w:rFonts w:ascii="Segoe UI" w:eastAsia="Times New Roman" w:hAnsi="Segoe UI" w:cs="Segoe UI"/>
      <w:sz w:val="18"/>
      <w:szCs w:val="18"/>
      <w:lang w:eastAsia="ro-RO"/>
    </w:rPr>
  </w:style>
  <w:style w:type="paragraph" w:styleId="CommentSubject">
    <w:name w:val="annotation subject"/>
    <w:basedOn w:val="CommentText"/>
    <w:next w:val="CommentText"/>
    <w:link w:val="CommentSubjectChar"/>
    <w:uiPriority w:val="99"/>
    <w:semiHidden/>
    <w:unhideWhenUsed/>
    <w:rsid w:val="00031BCC"/>
    <w:pPr>
      <w:spacing w:after="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031BCC"/>
    <w:rPr>
      <w:rFonts w:ascii="Arial" w:eastAsia="Times New Roman" w:hAnsi="Arial" w:cs="Times New Roman"/>
      <w:b/>
      <w:bCs/>
      <w:sz w:val="20"/>
      <w:szCs w:val="20"/>
      <w:lang w:eastAsia="ro-RO"/>
    </w:rPr>
  </w:style>
  <w:style w:type="table" w:styleId="TableGrid">
    <w:name w:val="Table Grid"/>
    <w:basedOn w:val="TableNormal"/>
    <w:uiPriority w:val="39"/>
    <w:rsid w:val="00031BCC"/>
    <w:pPr>
      <w:spacing w:after="0" w:line="240" w:lineRule="auto"/>
    </w:pPr>
    <w:rPr>
      <w:rFonts w:eastAsiaTheme="minorEastAsia"/>
      <w:lang w:eastAsia="ro-RO"/>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semiHidden/>
    <w:unhideWhenUsed/>
    <w:rsid w:val="00031BCC"/>
    <w:pPr>
      <w:jc w:val="center"/>
    </w:pPr>
    <w:rPr>
      <w:rFonts w:ascii="Times New Roman" w:hAnsi="Times New Roman"/>
      <w:b/>
      <w:bCs/>
      <w:szCs w:val="20"/>
      <w:lang w:eastAsia="en-US"/>
    </w:rPr>
  </w:style>
  <w:style w:type="character" w:customStyle="1" w:styleId="BodyTextChar">
    <w:name w:val="Body Text Char"/>
    <w:basedOn w:val="DefaultParagraphFont"/>
    <w:link w:val="BodyText"/>
    <w:semiHidden/>
    <w:rsid w:val="00031BC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031BCC"/>
    <w:pPr>
      <w:spacing w:after="120"/>
      <w:ind w:left="283"/>
    </w:pPr>
  </w:style>
  <w:style w:type="character" w:customStyle="1" w:styleId="BodyTextIndentChar">
    <w:name w:val="Body Text Indent Char"/>
    <w:basedOn w:val="DefaultParagraphFont"/>
    <w:link w:val="BodyTextIndent"/>
    <w:uiPriority w:val="99"/>
    <w:rsid w:val="00031BCC"/>
    <w:rPr>
      <w:rFonts w:ascii="Arial" w:eastAsia="Times New Roman" w:hAnsi="Arial" w:cs="Times New Roman"/>
      <w:sz w:val="24"/>
      <w:szCs w:val="24"/>
      <w:lang w:eastAsia="ro-RO"/>
    </w:rPr>
  </w:style>
  <w:style w:type="paragraph" w:customStyle="1" w:styleId="Stil1">
    <w:name w:val="Stil1"/>
    <w:basedOn w:val="Normal"/>
    <w:rsid w:val="00031BC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M1">
    <w:name w:val="CM1"/>
    <w:basedOn w:val="Default"/>
    <w:next w:val="Default"/>
    <w:uiPriority w:val="99"/>
    <w:rsid w:val="00031BC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031BCC"/>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031BC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031BCC"/>
    <w:pPr>
      <w:spacing w:after="120" w:line="480" w:lineRule="auto"/>
    </w:pPr>
  </w:style>
  <w:style w:type="character" w:customStyle="1" w:styleId="BodyText2Char">
    <w:name w:val="Body Text 2 Char"/>
    <w:basedOn w:val="DefaultParagraphFont"/>
    <w:link w:val="BodyText2"/>
    <w:uiPriority w:val="99"/>
    <w:rsid w:val="00031BCC"/>
    <w:rPr>
      <w:rFonts w:ascii="Arial" w:eastAsia="Times New Roman" w:hAnsi="Arial" w:cs="Times New Roman"/>
      <w:sz w:val="24"/>
      <w:szCs w:val="24"/>
      <w:lang w:eastAsia="ro-RO"/>
    </w:rPr>
  </w:style>
  <w:style w:type="paragraph" w:customStyle="1" w:styleId="Tableline">
    <w:name w:val="Table line"/>
    <w:basedOn w:val="Normal"/>
    <w:rsid w:val="00031BCC"/>
    <w:pPr>
      <w:overflowPunct w:val="0"/>
      <w:autoSpaceDE w:val="0"/>
      <w:autoSpaceDN w:val="0"/>
      <w:adjustRightInd w:val="0"/>
      <w:spacing w:before="60" w:after="60"/>
      <w:textAlignment w:val="baseline"/>
    </w:pPr>
    <w:rPr>
      <w:rFonts w:ascii="Times New Roman" w:hAnsi="Times New Roman"/>
      <w:sz w:val="22"/>
      <w:szCs w:val="22"/>
      <w:lang w:val="en-GB" w:eastAsia="en-US"/>
    </w:rPr>
  </w:style>
  <w:style w:type="paragraph" w:customStyle="1" w:styleId="Titlefront">
    <w:name w:val="Title front"/>
    <w:basedOn w:val="Normal"/>
    <w:rsid w:val="00031BCC"/>
    <w:pPr>
      <w:overflowPunct w:val="0"/>
      <w:autoSpaceDE w:val="0"/>
      <w:autoSpaceDN w:val="0"/>
      <w:adjustRightInd w:val="0"/>
      <w:spacing w:before="240"/>
      <w:jc w:val="center"/>
      <w:textAlignment w:val="baseline"/>
    </w:pPr>
    <w:rPr>
      <w:rFonts w:ascii="Times New Roman" w:hAnsi="Times New Roman"/>
      <w:b/>
      <w:sz w:val="28"/>
      <w:szCs w:val="20"/>
      <w:lang w:val="en-US" w:eastAsia="en-US"/>
    </w:rPr>
  </w:style>
  <w:style w:type="paragraph" w:customStyle="1" w:styleId="NormalInd1">
    <w:name w:val="Normal Ind 1"/>
    <w:basedOn w:val="Normal"/>
    <w:rsid w:val="00031BCC"/>
    <w:pPr>
      <w:tabs>
        <w:tab w:val="left" w:pos="2268"/>
      </w:tabs>
      <w:overflowPunct w:val="0"/>
      <w:autoSpaceDE w:val="0"/>
      <w:autoSpaceDN w:val="0"/>
      <w:adjustRightInd w:val="0"/>
      <w:ind w:left="567"/>
      <w:textAlignment w:val="baseline"/>
    </w:pPr>
    <w:rPr>
      <w:rFonts w:ascii="Times New Roman" w:hAnsi="Times New Roman"/>
      <w:bCs/>
      <w:sz w:val="22"/>
      <w:szCs w:val="22"/>
      <w:lang w:val="fr-FR" w:eastAsia="en-US"/>
    </w:rPr>
  </w:style>
  <w:style w:type="character" w:customStyle="1" w:styleId="ghid3Char">
    <w:name w:val="ghid 3 Char"/>
    <w:link w:val="ghid3"/>
    <w:locked/>
    <w:rsid w:val="00031BCC"/>
    <w:rPr>
      <w:rFonts w:ascii="Arial" w:eastAsia="Calibri" w:hAnsi="Arial" w:cs="Arial"/>
      <w:b/>
      <w:color w:val="000000"/>
      <w:sz w:val="24"/>
      <w:szCs w:val="24"/>
      <w:u w:val="single"/>
    </w:rPr>
  </w:style>
  <w:style w:type="paragraph" w:customStyle="1" w:styleId="ghid3">
    <w:name w:val="ghid 3"/>
    <w:basedOn w:val="Normal"/>
    <w:link w:val="ghid3Char"/>
    <w:qFormat/>
    <w:rsid w:val="00031BCC"/>
    <w:pPr>
      <w:contextualSpacing/>
      <w:jc w:val="center"/>
    </w:pPr>
    <w:rPr>
      <w:rFonts w:eastAsia="Calibri" w:cs="Arial"/>
      <w:b/>
      <w:color w:val="000000"/>
      <w:u w:val="single"/>
      <w:lang w:eastAsia="en-US"/>
    </w:rPr>
  </w:style>
  <w:style w:type="table" w:customStyle="1" w:styleId="Tabelgril1">
    <w:name w:val="Tabel grilă1"/>
    <w:basedOn w:val="TableNormal"/>
    <w:next w:val="TableGrid"/>
    <w:uiPriority w:val="39"/>
    <w:rsid w:val="00031B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47AEA"/>
    <w:rPr>
      <w:color w:val="0000FF"/>
      <w:u w:val="single"/>
    </w:rPr>
  </w:style>
  <w:style w:type="paragraph" w:styleId="BodyText3">
    <w:name w:val="Body Text 3"/>
    <w:basedOn w:val="Normal"/>
    <w:link w:val="BodyText3Char"/>
    <w:rsid w:val="00D47AEA"/>
    <w:pPr>
      <w:spacing w:after="120"/>
    </w:pPr>
    <w:rPr>
      <w:rFonts w:ascii="Times New Roman" w:hAnsi="Times New Roman"/>
      <w:sz w:val="16"/>
      <w:szCs w:val="16"/>
      <w:lang w:val="en-US" w:eastAsia="en-US"/>
    </w:rPr>
  </w:style>
  <w:style w:type="character" w:customStyle="1" w:styleId="BodyText3Char">
    <w:name w:val="Body Text 3 Char"/>
    <w:basedOn w:val="DefaultParagraphFont"/>
    <w:link w:val="BodyText3"/>
    <w:rsid w:val="00D47AEA"/>
    <w:rPr>
      <w:rFonts w:ascii="Times New Roman" w:eastAsia="Times New Roman" w:hAnsi="Times New Roman" w:cs="Times New Roman"/>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30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41A1E-B60A-4A58-BAC1-875628674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1245</Words>
  <Characters>7100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2017-03-17T07:15:00Z</dcterms:created>
  <dcterms:modified xsi:type="dcterms:W3CDTF">2018-03-01T12:33:00Z</dcterms:modified>
</cp:coreProperties>
</file>